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2023 34 vom 12. Juli 2023</w:t>
      </w:r>
    </w:p>
    <w:p>
      <w:r>
        <w:t>Sz Verwaltungsgericht, 2023-07-12, DE</w:t>
      </w:r>
    </w:p>
    <w:p>
      <w:r>
        <w:rPr>
          <w:b/>
        </w:rPr>
        <w:t xml:space="preserve">Quelle: </w:t>
      </w:r>
      <w:r>
        <w:t>https://mcp.opencaselaw.ch/entscheid/sz_verwaltungsgericht_I_2023_34</w:t>
      </w:r>
    </w:p>
    <w:p>
      <w:r>
        <w:t>FR: SZ_VERWALTUNGSGERICHT I 2023 34 du 12 juillet 2023</w:t>
      </w:r>
    </w:p>
    <w:p>
      <w:r>
        <w:t>IT: SZ_VERWALTUNGSGERICHT I 2023 34 del 12 luglio 2023</w:t>
      </w:r>
    </w:p>
    <w:p>
      <w:pPr>
        <w:pStyle w:val="Heading2"/>
      </w:pPr>
      <w:r>
        <w:t>Regeste</w:t>
      </w:r>
    </w:p>
    <w:p>
      <w:r>
        <w:t>Invalidenversicherung (Zwischenverfügung bidisziplinäres Verlaufsgutachten) | Invalidenversicherung</w:t>
      </w:r>
    </w:p>
    <w:p>
      <w:pPr>
        <w:pStyle w:val="Heading2"/>
      </w:pPr>
      <w:r>
        <w:t>Erwägungen</w:t>
      </w:r>
    </w:p>
    <w:p>
      <w:r>
        <w:rPr>
          <w:b/>
        </w:rPr>
        <w:t>E. 1</w:t>
      </w:r>
    </w:p>
    <w:p>
      <w:r>
        <w:t>Strittig und nachfolgend zu prüfen ist allein, ob die IV-Stelle den Auftrag für ein bidisziplinäres (Verlaufs-)Gutachten mit Zwischenverfügung vom 29. März 2023 zu Recht der ZMVB GmbH MEDAS Bern erteilt hatte. \n 2.1 Der Versicherungsträger nimmt die zur Überprüfung des Leistungsanspruchs notwendigen Abklärungen von Amtes wegen vor (vgl.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