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2024 97 vom 28. Januar 2025</w:t>
      </w:r>
    </w:p>
    <w:p>
      <w:r>
        <w:t>Sz Verwaltungsgericht, 2025-01-28, DE</w:t>
      </w:r>
    </w:p>
    <w:p>
      <w:r>
        <w:rPr>
          <w:b/>
        </w:rPr>
        <w:t xml:space="preserve">Quelle: </w:t>
      </w:r>
      <w:r>
        <w:t>https://mcp.opencaselaw.ch/entscheid/sz_verwaltungsgericht_II_2024_97</w:t>
      </w:r>
    </w:p>
    <w:p>
      <w:r>
        <w:t>FR: SZ_VERWALTUNGSGERICHT II 2024 97 du 28 janvier 2025</w:t>
      </w:r>
    </w:p>
    <w:p>
      <w:r>
        <w:t>IT: SZ_VERWALTUNGSGERICHT II 2024 97 del 28 gennaio 2025</w:t>
      </w:r>
    </w:p>
    <w:p>
      <w:pPr>
        <w:pStyle w:val="Heading2"/>
      </w:pPr>
      <w:r>
        <w:t>Regeste</w:t>
      </w:r>
    </w:p>
    <w:p>
      <w:r>
        <w:t>Einkommens- und Vermögenssteuer (Sicherstellungsverfügung Steuern kantonaler Gemeinwesen) | Einkommens- und Vermögenssteuer</w:t>
      </w:r>
    </w:p>
    <w:p>
      <w:pPr>
        <w:pStyle w:val="Heading2"/>
      </w:pPr>
      <w:r>
        <w:t>Erwägungen</w:t>
      </w:r>
    </w:p>
    <w:p>
      <w:r>
        <w:rPr>
          <w:b/>
        </w:rPr>
        <w:t>E. 1</w:t>
      </w:r>
    </w:p>
    <w:p>
      <w:r>
        <w:t>Das kantonale Verwaltungsrechtspflegegesetz (VRP; SRSZ 234.110) vom 6. Juni 1974 sieht eine \"vorsorgliche\" Beschwerdeerhebung nicht vor; eine solche ist rechtsprechungsgemäss grundsätzlich auch nicht zulässig. Gestaltungsrechte sind grundsätzlich bedingungsfeindlich und unwiderruflich ( BGE 141 V 597 E. 3.1), was namentlich auch für die von einer verfahrensbeteiligten Person vorgenommenen verfahrensrechtlichen Handlungen gilt, da das Gericht von klaren Voraussetzungen ausgehen und das Verfahren beförderlich behandeln können soll ( BGE 134 III 332 E. 2.2; Urteil BGer 2C_1080/2017 vom 28.12.2017 E. 2.4 mit Hinweis). Die bedingte Anfechtung eines Entscheides ist praxisgemäss nur in seltenen Ausnahmen zulässig, beispielsweise dann, wenn die Beschwerde bloss \"vorsorglich\" für den Fall eingereicht wird, dass eine zusätzlich angerufene Instanz auf ein weiteres Rechtsmittel oder einen Rechtsbehelf nicht eintritt ( BGE 101 Ib 216 E. 2). Im Übrigen haben die ausdrücklich an eine unzulässige Bedingung geknüpften Prozesshandlungen einer beschwerdeführenden Person unbehandelt zu bleiben ( BGE 127 II 306 E. 6c; Urteile BGer 2D_13/2019 vom 9.4.2019 E. 2.1; 2C_721/2017 vom 4.9.2017; 1B_572/2020 vom 20.11.2020 E. 2). \n Ein (seltener) Ausnahmefall, der eine bloss vorsorgliche Verwaltungsgerichtsbeschwerde als zulässig erscheinen lassen könnte, ist vorliegend nicht erkennbar und lässt sich auch den Eingaben des Beschwerdeführers nicht entnehmen. Es ist insofern also fraglich, ob auf die Beschwerde überhaupt eingetreten werden kann. \n 2.1.1 Hat die steuerpflichtige Person keinen Wohnsitz in der Schweiz oder erscheint die Bezahlung der von ihr geschuldeten Steuer als gefährdet, kann die Bezugsbehörde auch vor der rechtskräftigen Feststellung des Steuerbetrages jederzeit Sicherstellung verlangen. Die Sicherstellungsverfügung gibt den sicherzustellenden Betrag an und ist sofort vollstreckbar. Sie hat im Betreibungsverfahren die gleichen Wirkungen wie ein vollstreckbares Gerichtsurteil (§ 195 Abs. 1 des Steuergesetzes [StG; SRSZ 172.200] vom 9.2.2000; vgl. ebenso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