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2023 5 vom 27. Juni 2024</w:t>
      </w:r>
    </w:p>
    <w:p>
      <w:r>
        <w:t>Sz Verwaltungsgericht, 2024-06-27, DE</w:t>
      </w:r>
    </w:p>
    <w:p>
      <w:r>
        <w:rPr>
          <w:b/>
        </w:rPr>
        <w:t xml:space="preserve">Quelle: </w:t>
      </w:r>
      <w:r>
        <w:t>https://mcp.opencaselaw.ch/entscheid/sz_verwaltungsgericht_III_2023_5</w:t>
      </w:r>
    </w:p>
    <w:p>
      <w:r>
        <w:t>FR: SZ_VERWALTUNGSGERICHT III 2023 5 du 27 juin 2024</w:t>
      </w:r>
    </w:p>
    <w:p>
      <w:r>
        <w:t>IT: SZ_VERWALTUNGSGERICHT III 2023 5 del 27 giugno 2024</w:t>
      </w:r>
    </w:p>
    <w:p>
      <w:pPr>
        <w:pStyle w:val="Heading2"/>
      </w:pPr>
      <w:r>
        <w:t>Regeste</w:t>
      </w:r>
    </w:p>
    <w:p>
      <w:r>
        <w:t>Planungs- und Baurecht (Nachträgliche Baubewilligung für Steganlage; Rückbau) | Planungs- und Baurecht</w:t>
      </w:r>
    </w:p>
    <w:p>
      <w:pPr>
        <w:pStyle w:val="Heading2"/>
      </w:pPr>
      <w:r>
        <w:t>Erwägungen</w:t>
      </w:r>
    </w:p>
    <w:p>
      <w:r>
        <w:rPr>
          <w:b/>
        </w:rPr>
        <w:t>E. 2</w:t>
      </w:r>
    </w:p>
    <w:p>
      <w:r>
        <w:t>Vorweg ist auf die beschwerdeführerische Eingabe vom 20. Juni 2024 einzugehen. Darin macht sie geltend, eine umfassende Aktenkopiezustellung sei weiterhin ausstehend und ebenso ein Entscheid des Bundesgerichts betreffend Revisionsgesuch. Es sei ihr daher eine neue dreissigtägige Replikfrist anzusetzen, gerechnet ab Zustellung des zuletzt eintreffenden Dokumentes (vgl. Ingress Bst. L). \n Das vor Bundesgericht laufende Revisionsverfahren ist für das vorliegende Verfahren ohne Belang; das Bundesgericht hat denn das Verwaltungsgericht auch nicht angehalten, das Verfahren bis zu seinem Entscheid zu sistieren. \n Was die Aktenkopiezustellung anbelangt, so ist die Beschwerdeführerin im Besitze sämtlicher Rechtsschriften und Verfahrensanordnungen seit ihrer Eingabe vom 4. Juli 2022. Es verbleiben somit die Akten des Bezirksrates (Baumappe 31-22-021) sowie die Akten des ARE. Letztere liegen elektronisch vor und wurden der Beschwerdeführerin zugestellt. Hinsichtlich Baumappe wurde der Beschwerdeführerin seit Verfahrensbeginn die Möglichkeit zur umfassenden Akteneinsicht eingeräumt, letztmals am 17. Mai 2024 mit einer nicht weiter erstreckbaren Frist bis 21. Juni 2024. Hiervon hat die Beschwerdeführerin keinen Gebrauch gemacht, sie hat sich auch nie gemeldet, sondern erst am Tag vor Fristablauf neuerlich auf der Zustellung von Aktenkopien beharrt. Mit der Einräumung der Möglichkeit aber, sämtliche Akten, das umfassende Dossier vor Ort beim Gericht einsehen zu können (wie es die Beschwerdeführerin im Übrigen mit Beschwerde vom 3.1.2023 beantragt hat, vgl. Ingress Bst. E), ist das Gericht der Pflicht, vollumfängliche Akteneinsicht zu gewähren, in rechtsgenüglicher Weise nachgekommen. Es besteht kein Anspruch auf die Zustellung der Akten an Privatpersonen oder die Erstellung und Zustellung von Aktenkopien (vgl. Urteil BGer 5A_146/2009 vom 1.4.2009 E. 3.1; BGer 8F_2/2013 vom 19.7.2013 E. 3.2; Waldmann/Oeschger, in: Waldmann/Krauskopf [Hrsg.], Praxiskommentar Verwaltungsverfahrensgesetz, 3. Auflage, Art 26 N 85; Griffel, in: Griffel [Hrsg.], Kommentar VRG, 3. Auflage, § 8 Rz. 16 ff.; Rhinow/Koller/Kiss/Thurnherr/Brühl-Moser, Öffentliches Prozessrecht, 2. Auflage, Rz. 336). \n Kommt hinzu, dass vorliegend ausschliesslich die Frage des Nichteintretens des Regierungsrates auf die Eingabe vom 4. Juli 2022 strittig ist (mithin weder die materielle Bewilligungsfähigkeit des strittigen Stegs noch die materiellen Voraussetzungen der Wiederherstellung des rechtmässigen Zustands), die Regierung und der Bezirksrat auf eine Vernehmlassung verzichtet haben und jene des ARE kurzgehalten ist, weshalb der Beschwerdeführerin bis dato ausreichend Zeit für eine begründete Replik zur Verfügung stand. \n 3.1 Vor Erlass eines Entscheides prüft die Rechtsmittelinstanz von Amtes wegen, ob die Voraussetzungen für einen Sachentscheid erfüllt sind. Sie prüft u.a. die Zuständigkeit, die Rechtsmittelbefugnis, die Zulässigkeit des Rechtsmittels, die frist- und formgerechte Geltendmachung des Rechtsanspruches sowie die Rechtshängigkeit oder das Vorliegen eines rechtskräftigen Entscheides in der gleichen Sache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