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2022 67 vom 25. November 2022</w:t>
      </w:r>
    </w:p>
    <w:p>
      <w:r>
        <w:t>Sz Verwaltungsgericht, 2022-11-25, DE</w:t>
      </w:r>
    </w:p>
    <w:p>
      <w:r>
        <w:rPr>
          <w:b/>
        </w:rPr>
        <w:t xml:space="preserve">Quelle: </w:t>
      </w:r>
      <w:r>
        <w:t>https://mcp.opencaselaw.ch/entscheid/sz_verwaltungsgericht_III_2022_67</w:t>
      </w:r>
    </w:p>
    <w:p>
      <w:r>
        <w:t>FR: SZ_VERWALTUNGSGERICHT III 2022 67 du 25 novembre 2022</w:t>
      </w:r>
    </w:p>
    <w:p>
      <w:r>
        <w:t>IT: SZ_VERWALTUNGSGERICHT III 2022 67 del 25 novembre 2022</w:t>
      </w:r>
    </w:p>
    <w:p>
      <w:pPr>
        <w:pStyle w:val="Heading2"/>
      </w:pPr>
      <w:r>
        <w:t>Regeste</w:t>
      </w:r>
    </w:p>
    <w:p>
      <w:r>
        <w:t>Politische Rechte (Stimmrechtsbeschwerde; Gemeindeversammlung vom 22. April 2022; Wasserversorgungsreglement und Tarifblatt der Wasserversorgung Gemeinde Alpthal) | Politische Rechte</w:t>
      </w:r>
    </w:p>
    <w:p>
      <w:pPr>
        <w:pStyle w:val="Heading2"/>
      </w:pPr>
      <w:r>
        <w:t>Erwägungen</w:t>
      </w:r>
    </w:p>
    <w:p>
      <w:r>
        <w:rPr>
          <w:b/>
        </w:rPr>
        <w:t>E. 6</w:t>
      </w:r>
    </w:p>
    <w:p>
      <w:r>
        <w:t>Erstellung und Unterhalt der Anlagen \n 1 Die Wasserversorgung erstellt und unterhält die Quellfassungen, Wasserreservoirs, Hauptleitungen mit den Absperrorganen und Hydranten sowie Zweigleitungen bis und mit dem Hauptabstellhahn oder Schieber. \n 2 Die Haus Gebäudezuleitung ab Hauptschieber, Leitungssanierungen, Leitungsverlegungen und andere Veränderungen an den Leitungen sind ist vom Abonnenten auf eigene Rechnung durch den vom Gemeinderat konzessionierten Installateur ausführen zu lassen. \n 3 Als Gebäudezuleitung wird die Leitungsstrecke von der Hauptleitung bis zur Wasseruhr im Gebäude des Abonnenten bezeichnet. \n 4 Die Wasserversorgung bestimmt die Stelle und die Art des Anschlusses. Sie berücksichtigt, wenn möglich, die Wünsche des Abonnenten. \n 5 Der Abonnent ist auch verpflichtet, alle Installationen im Gebäudeinnern stets in einwandfreiem Zustand zu erhalten. Der Wasserversorgung steht jederzeit das Kontrollrecht zu. \n 6 Mängel an der Gebäudezuleitung sind der Wasserversorgung sofort zu melden und in Absprache mit der Wasserversorgung oder deren Beauftragten beheben zu lassen. Bei Nichtbeachtung dieser Vorschrift ist die zuständige Kommission berechtigt, die erforderlichen Reparaturen auf Kosten des Abonnenten vorzunehmen. Der Abonnent haftet ab Schieber. \n</w:t>
      </w:r>
    </w:p>
    <w:p>
      <w:r>
        <w:rPr>
          <w:b/>
        </w:rPr>
        <w:t>E. 7</w:t>
      </w:r>
    </w:p>
    <w:p>
      <w:r>
        <w:t>Die Kosten für das Suchen und Orten von Leckstellen übernimmt die Wasserversorgung. Die Kosten für Reparaturen bei Gebäudeanschlussleitungen hat der Grundeigentümer zu tragen. \n</w:t>
      </w:r>
    </w:p>
    <w:p>
      <w:r>
        <w:rPr>
          <w:b/>
        </w:rPr>
        <w:t>E. 8</w:t>
      </w:r>
    </w:p>
    <w:p>
      <w:r>
        <w:t>Stillgelegte Hauptleitungen verbleiben im Boden, solange auf dem betroffenen Grundstück keine Grabarbeiten durch Bautätigkeiten erfolgen. Werden im Bereich der verlegten Wasserleitung Grabarbeiten vorgenommen, übernimmt die Wasserversorgung die Kosten für die zusätzlichen Aufwendungen für die Entfernung der Leitung. \n n§ 32 Inkrafttreten \n 1 Der Gemeinderat bestimmt, nach erfolgter Genehmigugn durch den Regierungsrat, den Zeitpunkt des Inkrafttretens. Nach erfolgter Genehmigung des Reglementes durch den Regierungsrat tritt das Reglement rückwirkend auf den 01.01.2022 in Kraft. \n 2 Mit dem Inkrafttreten dieses Reglements ist das Reglement der Wasserversorgung vom</w:t>
      </w:r>
    </w:p>
    <w:p>
      <w:r>
        <w:rPr>
          <w:b/>
        </w:rPr>
        <w:t>E. 10</w:t>
      </w:r>
    </w:p>
    <w:p>
      <w:r>
        <w:t>Januar 1976 29. April 2016 aufgehoben. \n 1.2 Beantragt war zudem die Anpassung des Tarifblatts WVA. Die Wasserversorgung werde als Spezialfinanzierung geführt, wobei die Einnahmen die Ausgaben der Wasserversorgung schon länger nicht mehr decken würden und der grösste Teil der Wasserleitung ihre Lebensdauer erreicht habe, mithin der Sanierungsbedarf steige. Mit den Mehreinnahmen gemäss überarbeitetem Tarif solle es möglich sein, die Schulden bei der Gemeinde abzubezahlen und zukünftige Investitionen zu tätigen (vgl. Botschaft S. 10 f.; Bf-act. 2). \n Das revidierte Tarifblatt liess die Anschlussgebühren unverändert. Für die Benützungsgebühren wurden folgende Änderungen beantragt: \n B. Benützungsgebühren \n Die Eigentümer, bzw. die Baurechtsnehmer von Liegenschaften, welche der öffentlichen Wasserversorgung angeschlossen sind, haben eine jährliche Benützungsgebühr zu entrichten. \n 1 Die jährliche Grundgebühr pro Bezugseinheit (§ 10) beträgt CHF 150.00 CHF 180.00 \n 2 Die Bezugsgebühr pro m3 Wasser (Wasserverbrauch, § 10 ) beträgt \n a) für Nichtlandwirtschaft CHF 0.60 CHF 1.50 \n b) für Landwirtschaft CHF 0.40 CHF 0.80 \n 3 Zins für Wassermesser (Wasseruhr) (§ 11) CHF 20.00 CHF 30.00 \n 4 Hydrantengebühr (§ 12) 0.2 Promille des Gebäude- Versicherungs wertes \n 5 Pauschale Gebühr für provisorische Wasserabgabe ab Hydrant oder ab Zapfhahn (Art. 20 [sic]) (pro Ereignis und pro Jahr) zuzüglich Miete Systemtrenner CHF 80.00 \n 1.3 Der Gemeinderat beantragte den Stimmberechtigten die Genehmigung sowohl des überarbeiteten Reglementes WVA als auch des überarbeiteten Tarifblattes WVA sowie die Beauftragung des Gemeinderates, beides rückwirkend per 1. Januar 2022 in Kraft zu setzen. Die Rechnungsprüfungskommission ihrerseits beantragte, beide Anträge seien zu genehmigen (vgl. Botschaft zur Gemeindeversammlung vom 22.4.2022 S. 8 [Ziff. 2.2 und 2.3] sowie S. 13 [Ziff. 3.2 und 3.3]). \n Im Rahmen der Beratung wurde ein von B.________ zum Reglement WVA gestellter Rückweisungsantrag mit 7 Ja zu 22 Nein-Stimmen abgelehnt (Protokoll S. 13). Diskutiert wurden zudem verschiedene Abänderungsanträge, von welchen zwei angenommen wurden (vgl. Protokoll S. 14, 16, 20, 21, 22). Auch zum Tarifblatt WVA wurde ein Abänderungsantrag gestellt, aber abgelehnt (vgl. Protokoll S. 29). Schliesslich hat die Gemeindeversammlung das revidierte Reglement WVA und das revidierte Tarifblatt WVA genehmigt (vgl. Ingress Bst. A). \n 1.4 Die Beschwerdeführer rügen mit ihrer Stimmrechtsbeschwerde formelle wie auch materielle Mängel. Formell bemängeln sie, dass die beiden Geschäfte schwergewichtig durch E.________ und dessen Tochter F.________ vorbereitet und vorgestellt worden seien, jedoch beide korrekterweise in den Ausstand hätten treten müssen; beide würden aufgrund ihrer Person sowie in ihren Funktionen mehrere Ausstandsgründe erfüllen. Materiell wird vorgetragen, das überarbeitete Reglement WVA verstosse gegen das Verbot der echten Rückwirkung und die Änderungen des Reglementes sowie des Tarifblattes seien zumindest teilweise rechtswidrig und unzulässig. Infolgedessen seien die Gemeindeversammlungsbeschlüsse zu kassieren. Eventualiter habe das Gericht festzustellen, dass n§ 6 Abs. 8 Reglement WVA das laufende Verfahren betreffend Entfernung der Wasserleitung nicht präjudiziere (vgl. Anträge Ingress Bst. B). \n Der Gemeinderat bestreitet die Darlegungen der Beschwerdeführer, weshalb die Beschwerde abzuweisen sei, soweit überhaupt darauf eingetreten werde. \n 2.1 Vor Erlass eines Entscheides prüft das Verwaltungsgericht von Amtes wegen, ob die Voraussetzungen für einen Sachentscheid erfüllt sind. Es prüft u.a. die Zuständigkeit, die Rechtsmittelbefugnis, die Zulässigkeit des Rechtsmittels, die frist- und formgerechte Geltendmachung des Rechtsanspruches sowie die Rechtshängigkeit oder das Vorliegen eines rechtskräftigen Entscheides in der gleichen Sache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