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2019 205 vom 20. März 2020</w:t>
      </w:r>
    </w:p>
    <w:p>
      <w:r>
        <w:t>Sz Verwaltungsgericht, 2020-03-20, DE</w:t>
      </w:r>
    </w:p>
    <w:p>
      <w:r>
        <w:rPr>
          <w:b/>
        </w:rPr>
        <w:t xml:space="preserve">Quelle: </w:t>
      </w:r>
      <w:r>
        <w:t>https://mcp.opencaselaw.ch/entscheid/sz_verwaltungsgericht_III_2019_205</w:t>
      </w:r>
    </w:p>
    <w:p>
      <w:r>
        <w:t>FR: SZ_VERWALTUNGSGERICHT III 2019 205 du 20 mars 2020</w:t>
      </w:r>
    </w:p>
    <w:p>
      <w:r>
        <w:t>IT: SZ_VERWALTUNGSGERICHT III 2019 205 del 20 marzo 2020</w:t>
      </w:r>
    </w:p>
    <w:p>
      <w:pPr>
        <w:pStyle w:val="Heading2"/>
      </w:pPr>
      <w:r>
        <w:t>Regeste</w:t>
      </w:r>
    </w:p>
    <w:p>
      <w:r>
        <w:t>Öffentliches Beschaffungsrecht (GWR Erweiterung AV, Phase 1) | Öffentliches Beschaffungsrecht</w:t>
      </w:r>
    </w:p>
    <w:p>
      <w:pPr>
        <w:pStyle w:val="Heading2"/>
      </w:pPr>
      <w:r>
        <w:t>Erwägungen</w:t>
      </w:r>
    </w:p>
    <w:p>
      <w:r>
        <w:rPr>
          <w:b/>
        </w:rPr>
        <w:t>E. 1</w:t>
      </w:r>
    </w:p>
    <w:p>
      <w:r>
        <w:t>Mit dem Zwischenbescheid III 2019 225 vom 5. Dezember 2019 wurden die frist- und formgerechte Einreichung der Beschwerde, die Beschwerdelegitimation sowie die Zuständigkeit des Verwaltungsgerichtes geprüft, wobei die Sachurteilsvoraussetzungen als gegeben beurteilt wurden. Es kann darauf verwiesen werden. Mithin ist auf die Beschwerde einzutreten. \n 2.1 Die Beschwerdeführerin rügt, es seien ihr durch die Vorinstanz nach dem Eingang der angefochtenen Zuschlagsverfügung weitergehende Informationen zu dieser Vergabe verweigert worden. Der für sie negative Entscheid sei überhaupt nicht nachvollziehbar gewesen und aufgrund der Auskunftsverweigerung könne auch die Beschwerdeführung nur knapp begründet werden, resp. basiere diese notgedrungen auf Annahmen. \n 2.2 Die Vorinstanz bestreitet diesen Sachverhalt nicht. Sie lieferte der Beschwerdeführerin nach Beschwerdeeingang verschiedene Unterlagen und reichte die Verfahrensakten mit der Vernehmlassung ein. Nachdem die Beschwerdeführerin um Akteneinsicht ersucht hat, wurden ihr die aus Sicht des Gerichtes nicht vertraulichen Verfahrensakten zugestellt (vgl. Ingress Bst. G). \n 2.3.1 Die Auftraggeberin oder der Auftraggeber eröffnet Verfügungen durch Veröffentlichung oder durch Zustellung (§ 36 Abs. 1 der Verordnung zur Inter­kantonalen Vereinbarung über das öffentliche Beschaffungswesen [VIVöB; SRSZ 430.130] vom 15.12.2004). Die Verfügungen werden summarisch begründet und mit einer Rechtsmittelbelehrung versehen (§ 36 Abs. 2 VIVöB). Gemäss den allgemeinen Grundsätzen zur Begründungspflicht einer Verfügung muss die Begründung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Erw. 5.2; Urteile BGer 9C_101/2011 vom 21.7.2011 Erw. 6.1; 9C_257/2011 vom 25.8.2011 Erw. 5.1). Diese Pflicht zur Begründung eines Entscheides bzw. einer Verfügung gründet im verfassungsmässigen Anspruch auf rechtliches Gehör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