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III 2018 65 vom 17. April 2018</w:t>
      </w:r>
    </w:p>
    <w:p>
      <w:r>
        <w:t>Sz Verwaltungsgericht, 2018-04-17, DE</w:t>
      </w:r>
    </w:p>
    <w:p>
      <w:r>
        <w:rPr>
          <w:b/>
        </w:rPr>
        <w:t xml:space="preserve">Quelle: </w:t>
      </w:r>
      <w:r>
        <w:t>https://mcp.opencaselaw.ch/entscheid/sz_verwaltungsgericht_III_2018_65</w:t>
      </w:r>
    </w:p>
    <w:p>
      <w:r>
        <w:t>FR: SZ_VERWALTUNGSGERICHT III 2018 65 du 17 avril 2018</w:t>
      </w:r>
    </w:p>
    <w:p>
      <w:r>
        <w:t>IT: SZ_VERWALTUNGSGERICHT III 2018 65 del 17 aprile 2018</w:t>
      </w:r>
    </w:p>
    <w:p>
      <w:pPr>
        <w:pStyle w:val="Heading2"/>
      </w:pPr>
      <w:r>
        <w:t>Regeste</w:t>
      </w:r>
    </w:p>
    <w:p>
      <w:r>
        <w:t>Strafvollzug (Vollzugsauftrag für Strafen / Rückweisung / 2. Rechtsgang im Verf. III 2017 223) | Strafvollzug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seinem Urteil 6B_164/2018 vom 9. April 2018 hielt das Bundesgericht unter anderem fest, \n - dass der Vollzug eines Entscheides voraussetze, dass dieser in Rechtskraft erwachsen sei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