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ZZ.1995.29 vom 21. November 1995</w:t>
      </w:r>
    </w:p>
    <w:p>
      <w:r>
        <w:t>SO Obergericht, 1995-11-21, DE</w:t>
      </w:r>
    </w:p>
    <w:p>
      <w:r>
        <w:rPr>
          <w:b/>
        </w:rPr>
        <w:t xml:space="preserve">Quelle: </w:t>
      </w:r>
      <w:r>
        <w:t>https://mcp.opencaselaw.ch/entscheid/so_gerichte_ZZ.1995.29</w:t>
      </w:r>
    </w:p>
    <w:p>
      <w:r>
        <w:t>FR: SO_GERICHTE ZZ.1995.29 du 21 novembre 1995</w:t>
      </w:r>
    </w:p>
    <w:p>
      <w:r>
        <w:t>IT: SO_GERICHTE ZZ.1995.29 del 21 novembre 1995</w:t>
      </w:r>
    </w:p>
    <w:p>
      <w:pPr>
        <w:pStyle w:val="Heading2"/>
      </w:pPr>
      <w:r>
        <w:t>Regeste</w:t>
      </w:r>
    </w:p>
    <w:p>
      <w:r>
        <w:t>Art. 54 GSchG - Eine antizipierte Ersatzvornahme ist auch mög­lich, wenn sich ein Ölunfall bloss in der Zone "B" nach Art. 16 VWF ereignet hat (Erw. 2). Art. 54 GSchG entspricht Art. 8 aGSchG; die Praxis zu der altrechtlichen Norm kann auch für die Auslegung der heute geltenden Bestimmung herangezogen werden. Zu den "Verursachern", denen die Kosten überbunden werden können, gehören demnach die "Verhaltensstörer" und die "Zustandsstörer" (Erw. 3). Der Chauffeur, der eine Öllieferung ausgeführt hat, gilt als Verhaltensstörer. Als Zustandsstörerin kommt neben der Grundeigentümerin die Herstellerfirma der Überfüllsicherung in Betracht (Erw. 4).</w:t>
      </w:r>
    </w:p>
    <w:p>
      <w:pPr>
        <w:pStyle w:val="Heading2"/>
      </w:pPr>
      <w:r>
        <w:t>Erwägungen</w:t>
      </w:r>
    </w:p>
    <w:p>
      <w:r>
        <w:rPr>
          <w:b/>
        </w:rPr>
        <w:t>E. 5</w:t>
      </w:r>
    </w:p>
    <w:p>
      <w:r>
        <w:t>Zusammenfassend ergibt sich, dass die Liegenschaftenei­gentümerin und Beschwerdeführerin als Zustandsstörerin sowie der Tankwagenchauffeur als Verhaltensstörer gestützt auf Art. 54 GSchG zur Tragung der durch das auslaufende Öl verursachten Ko­sten heranzuziehen sind. Nach den für die Kostenaufteilung unter einer Störermehrheit entwickelten Grundsätzen rechtfertigt es sich, die Beschwerdeführerin zwei Drittel und den Tankwagenchauf­feur ein Drittel der Kosten tragen zu lassen. Eine solche Vertei­lung berücksichtigt insbesondere einesteils den Umstand, dass die missverständliche Anordnung der Einfüllstützen aussergewöhn­lich ist und hauptsächlich zum Vorfall beigetragen hat. Andern­teils wird dem Umstand Rechnung getragen, dass der Chauffeur Ver­sicherungsschutz geniesst. Bei beiden Kostenträgern steht somit im übrigen das weitere Kriterium der wirtschaftlichen Leistungs­fähigkeit ausser Zweifel.</w:t>
      </w:r>
    </w:p>
    <w:p>
      <w:r>
        <w:t>Verwaltungsgericht, Urteil vom 21. November 1995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