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ZKERL.2024.1 vom 26. Januar 2024</w:t>
      </w:r>
    </w:p>
    <w:p>
      <w:r>
        <w:t>SO Obergericht, 2024-01-26, DE</w:t>
      </w:r>
    </w:p>
    <w:p>
      <w:r>
        <w:rPr>
          <w:b/>
        </w:rPr>
        <w:t xml:space="preserve">Quelle: </w:t>
      </w:r>
      <w:r>
        <w:t>https://mcp.opencaselaw.ch/entscheid/so_gerichte_ZKERL.2024.1</w:t>
      </w:r>
    </w:p>
    <w:p>
      <w:r>
        <w:t>FR: SO_GERICHTE ZKERL.2024.1 du 26 janvier 2024</w:t>
      </w:r>
    </w:p>
    <w:p>
      <w:r>
        <w:t>IT: SO_GERICHTE ZKERL.2024.1 del 26 gennaio 2024</w:t>
      </w:r>
    </w:p>
    <w:p>
      <w:pPr>
        <w:pStyle w:val="Heading2"/>
      </w:pPr>
      <w:r>
        <w:t>Regeste</w:t>
      </w:r>
    </w:p>
    <w:p>
      <w:r>
        <w:t>Erlassgesuch (Rechnung Nr. o2023d1437 vom 25. Oktober 2023 / ZKBER.2023.32)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Januar 2024 (Eingang bei der Zentralen Gerichtskasse am 22. Januar 2024) als Erlassgesuch entgegengenommen wird, auch wenn A.___ keinen konkreten Antrag gestellt hat; - für einen allfälligen Erlass von Gerichtskosten gemäss § 15 Abs. 3 Gebührentarif (GT, BGS 615.11) die Vorsitzende desjenigen Gerichts zuständig ist, das sie festgesetzt hat; - entgegen der Behauptung von A.___ im Urteil ZKBER.2023.32 auf einer halben A4-Seite erläutert wurde, weshalb ihr Gesuch um unentgeltliche Rechtspflege abgewiesen wurde, nämlich infolge Aussichtslosigkeit des Rechtsmittelprozesses; - der nachträgliche Erlass oder die Stundung von Verfahrenskosten ausgeschlossen ist, wenn die unentgeltliche Rechtspflege wegen Aussichtslosigkeit verweigert wurde (Sutter-Somm Thomas/Seiler Benedikt, in: Sutter-Somm Thomas/Seiler Benedikt [Hrsg.], Handkommentar zur Schweizerischen Zivilprozessordnung, Art. 1-408 ZPO, Zürich - Basel - Genf 2021, Art. 112 N 3); - ein Erlass der Gerichtskosten ausgeschlossen ist, da die Einreichung zum vorneherein aussichtloser Rechtsmittel nicht nachträglich durch einen Erlass honoriert werden soll; - ein nachträglicher Erlass der Gebühr daher abzuweisen ist;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