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ZKEIV.2014.1 vom 2. Juni 2014</w:t>
      </w:r>
    </w:p>
    <w:p>
      <w:r>
        <w:t>SO Obergericht, 2014-06-02, DE</w:t>
      </w:r>
    </w:p>
    <w:p>
      <w:r>
        <w:rPr>
          <w:b/>
        </w:rPr>
        <w:t xml:space="preserve">Quelle: </w:t>
      </w:r>
      <w:r>
        <w:t>https://mcp.opencaselaw.ch/entscheid/so_gerichte_ZKEIV.2014.1</w:t>
      </w:r>
    </w:p>
    <w:p>
      <w:r>
        <w:t>FR: SO_GERICHTE ZKEIV.2014.1 du 2 juin 2014</w:t>
      </w:r>
    </w:p>
    <w:p>
      <w:r>
        <w:t>IT: SO_GERICHTE ZKEIV.2014.1 del 2 giugno 2014</w:t>
      </w:r>
    </w:p>
    <w:p>
      <w:pPr>
        <w:pStyle w:val="Heading2"/>
      </w:pPr>
      <w:r>
        <w:t>Regeste</w:t>
      </w:r>
    </w:p>
    <w:p>
      <w:r>
        <w:t>Art. 104 Abs. 3 und 106 ZPO. Die Prozesskosten eines Verfahrens auf Erlass vorsorglicher Massnahmen können dem Gesuchsgegner auch dann auferlegt werden, wenn darauf verzichtet wird, den Hauptprozess anzuheben und die vorsorglichen Massnahmen wieder dahinfallen.</w:t>
      </w:r>
    </w:p>
    <w:p>
      <w:pPr>
        <w:pStyle w:val="Heading2"/>
      </w:pPr>
      <w:r>
        <w:t>Volltext</w:t>
      </w:r>
    </w:p>
    <w:p>
      <w:r>
        <w:t>SOG 2014 Nr.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