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ZKBES.2024.54 vom 12. März 2024</w:t>
      </w:r>
    </w:p>
    <w:p>
      <w:r>
        <w:t>SO Obergericht, 2024-03-12, DE</w:t>
      </w:r>
    </w:p>
    <w:p>
      <w:r>
        <w:rPr>
          <w:b/>
        </w:rPr>
        <w:t xml:space="preserve">Quelle: </w:t>
      </w:r>
      <w:r>
        <w:t>https://mcp.opencaselaw.ch/entscheid/so_gerichte_ZKBES.2024.54</w:t>
      </w:r>
    </w:p>
    <w:p>
      <w:r>
        <w:t>FR: SO_GERICHTE ZKBES.2024.54 du 12 mars 2024</w:t>
      </w:r>
    </w:p>
    <w:p>
      <w:r>
        <w:t>IT: SO_GERICHTE ZKBES.2024.54 del 12 marzo 2024</w:t>
      </w:r>
    </w:p>
    <w:p>
      <w:pPr>
        <w:pStyle w:val="Heading2"/>
      </w:pPr>
      <w:r>
        <w:t>Erwägungen</w:t>
      </w:r>
    </w:p>
    <w:p>
      <w:r>
        <w:rPr>
          <w:b/>
        </w:rPr>
        <w:t>E. 1</w:t>
      </w:r>
    </w:p>
    <w:p>
      <w:r>
        <w:t>Mit Zahlungsbefehl Nr. [...] des Betreibungsamtes Region Solothurn vom 14. November 2023 leitete der Stato del Cantone Ticino gegen B.___ eine Betreibung auf Sicherstellung ein. Als Forderungsgrund wird die Sicherstellungsverfügung vom 9. November 2023 genannt. Diese Sicherstellungsverfügung lautet auf eine Summe von CHF 1’150’000.00 zuzüglich Zins zu 2.5 %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Kanton Tessin (so bezeichnet im Rechtsöffnungsbegehren, im Folgenden der Gesuchsteller) stellte am 12. Dezember 2023 (Postaufgabe) beim Richteramt Solothurn-Lebern gegen B.___ (im Folgenden der Gesuchsgegner) das Rechtsöffnungsbegehren für Forderung, Zinsen, Kosten und eine angemessene Umtriebsentschädigung.</w:t>
      </w:r>
    </w:p>
    <w:p>
      <w:r>
        <w:rPr>
          <w:b/>
        </w:rPr>
        <w:t>E. 2.1</w:t>
      </w:r>
    </w:p>
    <w:p>
      <w:r>
        <w:t>Der Beschwerdeführer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er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 eine dagegen erhobene Beschwerde 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 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 Dies wirft die Frage auf, ob sich die aufschiebende Wirkung nicht sogar auf den Eintritt der Rechtskraft der Sicherstellungsverfügung bezieht. 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den Gesuchsteller zur Bezahlung einer Parteientschädigung von CHF 2013.15 und der Gerichtskosten von CHF 1000.00.</w:t>
      </w:r>
    </w:p>
    <w:p>
      <w:r>
        <w:rPr>
          <w:b/>
        </w:rPr>
        <w:t>E. 5</w:t>
      </w:r>
    </w:p>
    <w:p>
      <w:r>
        <w:t>Gegen das begründete Urteil erhob der Gesuchsteller (im Folgenden der Beschwerdeführer) am 15. April 2024 Beschwerde an das Obergericht des Kantons Solothurn und verlangte die Aufhebung des angefochtenen Urteils und die Gutheissung des Rechtsöffnungsgesuchs.Weiter beantragte er,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des Beschwerdeführers, es seien die drei parallelen Verfahren zu vereinigen, ist sogleich abzuweisen. Es sind drei verschiedene Betreibungen von drei verschiedenen Gläubigern 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unentschieden gelassen, ob die definitive Rechtsöffnung bereits hätte ausgesprochen werden können, als die Beschwerde gegen den Antrag auf Sicherheitsleistung noch beim Bundesgericht hängig war (Erwägung 6.3).Es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Der Beschwerdeführer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 Die Einwendungen des Beschwerdeführers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6000.00 zu bezahlen. Zudem hat er dem Beschwerdeführer für beide Instanzen eine Parteientschädigung zu bezahlen.Diese wird für beide Instanzen in Anlehnung an die Ausführungen des Beschwerdeführers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1150000.00 zuzüglich Zins zu 2,5 % seit 10. November 2023 die definitive Rechtsöffnung erteilt.</w:t>
      </w:r>
    </w:p>
    <w:p>
      <w:r>
        <w:t>3.B.___ hat dem Kanton Tessin die Arrestkosten von CHF 476.90 und die Betreibungskosten von CHF 475.40 zu ersetzen.</w:t>
      </w:r>
    </w:p>
    <w:p>
      <w:r>
        <w:t>4.B.___ hat die Kosten des erstinstanzlichen Verfahrens von CHF 1000.00 zu bezahlen. Diese werden mit dem geleisteten Kostenvorschuss verrechnet. C.___ hat dem Kanton Tessin die von ihm bevorschussten CHF 1000.00 zu ersetzen.</w:t>
      </w:r>
    </w:p>
    <w:p>
      <w:r>
        <w:t>5.B.___ hat die Kosten des zweitinstanzlichen Verfahrens von CHF 6000.00 zu bezahlen. Diese werden mit dem geleisteten Kostenvorschuss verrechnet. C.___ hat dem Kanton Tessin die von ihm bevorschussten CHF 6000.00 zu ersetzen.</w:t>
      </w:r>
    </w:p>
    <w:p>
      <w:r>
        <w:t>6.B.___ hat dem Kanton Tessin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das Verfahren infolge Rückzugs der Beschwerde mit Verfügung vom 20. September 2024 abgeschrieben (BGer 4A_433/2024).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