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ZKBES.2024.202 vom 19. November 2024</w:t>
      </w:r>
    </w:p>
    <w:p>
      <w:r>
        <w:t>SO Obergericht, 2024-11-19, DE</w:t>
      </w:r>
    </w:p>
    <w:p>
      <w:r>
        <w:rPr>
          <w:b/>
        </w:rPr>
        <w:t xml:space="preserve">Quelle: </w:t>
      </w:r>
      <w:r>
        <w:t>https://mcp.opencaselaw.ch/entscheid/so_gerichte_ZKBES.2024.202_d20241119</w:t>
      </w:r>
    </w:p>
    <w:p>
      <w:r>
        <w:t>FR: SO_GERICHTE ZKBES.2024.202 du 19 novembre 2024</w:t>
      </w:r>
    </w:p>
    <w:p>
      <w:r>
        <w:t>IT: SO_GERICHTE ZKBES.2024.202 del 19 novembre 2024</w:t>
      </w:r>
    </w:p>
    <w:p>
      <w:pPr>
        <w:pStyle w:val="Heading2"/>
      </w:pPr>
      <w:r>
        <w:t>Regeste</w:t>
      </w:r>
    </w:p>
    <w:p>
      <w:r>
        <w:t>Kostenvorschuss etc.</w:t>
      </w:r>
    </w:p>
    <w:p>
      <w:pPr>
        <w:pStyle w:val="Heading2"/>
      </w:pPr>
      <w:r>
        <w:t>Erwägungen</w:t>
      </w:r>
    </w:p>
    <w:p>
      <w:r>
        <w:rPr>
          <w:b/>
        </w:rPr>
        <w:t>E. 1</w:t>
      </w:r>
    </w:p>
    <w:p>
      <w:r>
        <w:t>Am 10. Oktober 2024 hat A.___, vertreten durch B.___, ein Gesuch um Anordnung der Nachlassstundung mit folgenden Rechtsbegehren gestellt:</w:t>
      </w:r>
    </w:p>
    <w:p>
      <w:r>
        <w:rPr>
          <w:b/>
        </w:rPr>
        <w:t>E. 2</w:t>
      </w:r>
    </w:p>
    <w:p>
      <w:r>
        <w:t>Am 14. Oktober 2024 hat der Amtsgerichtspräsident von Olten-Gösgen Folgendes verfügt:</w:t>
      </w:r>
    </w:p>
    <w:p>
      <w:r>
        <w:t>()</w:t>
      </w:r>
    </w:p>
    <w:p>
      <w:r>
        <w:t>()</w:t>
      </w:r>
    </w:p>
    <w:p>
      <w:r>
        <w:rPr>
          <w:b/>
        </w:rPr>
        <w:t>E. 3</w:t>
      </w:r>
    </w:p>
    <w:p>
      <w:r>
        <w:t>Am 23. Oktober 2024 hat der Amtsgerichtspräsident von Olten-Gösgen Folgendes verfügt:</w:t>
      </w:r>
    </w:p>
    <w:p>
      <w:r>
        <w:rPr>
          <w:b/>
        </w:rPr>
        <w:t>E. 3.1</w:t>
      </w:r>
    </w:p>
    <w:p>
      <w:r>
        <w:t>Gemäss Art. 319 lit. b Ziff. 1 i.V.m. Art. 103 ZPO sind Entscheide über die Leistung von Vorschüssen mit Beschwerde anfechtbar. Mit der Beschwerde können unrichtige Rechtsanwendung und offensichtlich unrichtige Feststellung des Sachverhalts geltend gemacht werden (Art. 320 ZPO). Im Beschwerdeverfahren gilt das Rügeprinzip, d.h. die Beschwerde führende Partei hat im Einzelnen darzulegen, an welchen Mängeln der angefochtene Entscheid ihrer Ansicht nach leidet (vgl. Dieter Freiburghaus / Susanne Afheldt in: Thomas Sutter-Somm et al. [Hrsg.], Kommentar zur Schweizerischen Zivilprozessordnung, Zürich 2016, Art. 321 ZPO N 15). Blosse Ermessensfragen fallen nicht unter den Begriff der unrichtigen Rechtsanwendung, Ermessensüberschreitung und Ermessensmissbrauch hingegen schon (Karl Spühler in: Karl Spühler / Luca Tenchio / Dominik Infanger [Hrsg.], Basler Kommentar, Schweizerische Zivilprozessordnung, Basel 2017, Art. 310 ZPO N 3, Art. 320 ZPO N 1, vgl. auch Dheden C. Zotsang: Prozesskosten nach der Schweizerischen Zivilprozessordnung, Zürich / Basel / Genf 2015, S. 253). Ermessensmissbrauch ist gegeben, wenn das Gericht zwar im Rahmen des ihm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Urteil des Bundesgerichts 8C_205/2017 vom 4. August 2017, E. 4.1).</w:t>
      </w:r>
    </w:p>
    <w:p>
      <w:r>
        <w:rPr>
          <w:b/>
        </w:rPr>
        <w:t>E. 3.2</w:t>
      </w:r>
    </w:p>
    <w:p>
      <w:r>
        <w:t>Der Beschwerdeführer rügt, dass ein Kostenvorschuss von CHF 2'500.00 für ein Nachlassverfahren einer Privatperson nicht gerechtfertigt sei, sei es doch viel einfacher als ein Nachlassverfahren einer Firma. Auch im interkantonalen Vergleich sei die Gebühr unverhältnismässig hoch.</w:t>
      </w:r>
    </w:p>
    <w:p>
      <w:r>
        <w:rPr>
          <w:b/>
        </w:rPr>
        <w:t>E. 3.3</w:t>
      </w:r>
    </w:p>
    <w:p>
      <w:r>
        <w:t>In seiner Beschwerde legt der Beschwerdeführer Gründe dar, die das Ermessen bezüglich der Höhe des Kostenvorschusses in Frage stellen. Er versäumt es jedoch darzulegen, inwiefern die aufgeworfene Ermessensfrage eine unrichtige Rechtsanwendung (Ermessensüberschreitung oder Ermessensmissbrauch) darstellt. Die Beschwerde ist damit ungenügend begründet und auf die Rüge der unangemessenen Höhe des Kostenvorschusses ist nicht einzutreten. Ohnehin liegt der in Raten zu bezahlende Gerichtskostenvorschuss innerhalb des Gebührenrahmens (vgl. Art. 54 der Gebührenverordnung zum Bundesgesetz über Schuldbetreibung und Konkurs (GebV SchKG, SR 281.35).</w:t>
      </w:r>
    </w:p>
    <w:p>
      <w:r>
        <w:rPr>
          <w:b/>
        </w:rPr>
        <w:t>E. 4</w:t>
      </w:r>
    </w:p>
    <w:p>
      <w:r>
        <w:t>Der Beschwerdeführer rügt weiter, dass die Vorinstanz die provisorische Nachlassstundung unverzüglich hätte bewilligen müssen und keine weiteren Unterlagen hätte einfordern dürfen. Art. 293d SchKG besagt, dass die Bewilligung der provisorischen Nachlassstundung nicht anfechtbar ist. Gegen die Nichtbewilligung des Gesuchs um provisorische Stundung steht demgegenüber die Beschwerde offen (Urteil des Obergerichts des Kantons Zürich PS180131 vom 3. September 2018, E. II. 2.; Umbach-Spahn / Kesselbach / Burkhalter, a.a.O., Art. 293d SchKG N 5), weshalb Art. 293d SchKG der Rüge der Nichtbewilligung der provisorischen Nachlassstundung nicht im Wege steht. Prozessleitende Verfügungen sind unter Art. 319 lit. b Ziff. 2 ZPO anfechtbar, wenn durch sie ein nicht leicht wiedergutzumachender Nachteil droht. Der Beschwerdeführer hat nicht dargelegt, dass ein nicht leicht wiedergutzumachender Nachteil droht. Es ist auch kein solcher erkennbar. Daher ist auf diese Rüge nicht einzutreten.</w:t>
      </w:r>
    </w:p>
    <w:p>
      <w:r>
        <w:rPr>
          <w:b/>
        </w:rPr>
        <w:t>E. 5</w:t>
      </w:r>
    </w:p>
    <w:p>
      <w:r>
        <w:t>Der Beschwerdeführer rügt zudem, dass die Anforderung an einen Sachverwalter gemäss § 4 Abs. 3 lit. b EV SchKG unverhältnismässig sei. Die Vorinstanz hat mit der Verfügung lediglich eine Bestätigung verlangt, dass der vorgeschlagene Sachwalter über eine entsprechende Versicherung verfügt. Eine Berufshaftpflichtversicherung gemäss § 4 Abs. 3 EV SchKG ist Voraussetzung nach dem eindeutigen Wortlaut der Verordnung.</w:t>
      </w:r>
    </w:p>
    <w:p>
      <w:r>
        <w:rPr>
          <w:b/>
        </w:rPr>
        <w:t>E. 6</w:t>
      </w:r>
    </w:p>
    <w:p>
      <w:r>
        <w:t>Auf die Beschwerde ist nicht einzutreten.</w:t>
      </w:r>
    </w:p>
    <w:p>
      <w:r>
        <w:rPr>
          <w:b/>
        </w:rPr>
        <w:t>E. 7</w:t>
      </w:r>
    </w:p>
    <w:p>
      <w:r>
        <w:t>Bei diesem Ausgang des Verfahrens hat der Beschwerdeführer die Gerichtskosten zu tragen (Art. 106 ZPO). Die Gerichtskosten werden auf CHF 500.00 festgelegt. Die Gerichtskosten werden mit dem geleisteten Kostenvorschuss in Höhe von CHF 500.00 verrechnet. Eine Parteientschädigung wurde nicht gefordert und wäre darüber hinaus bei diesem Ausgang des Verfahrens auch nicht zu sprechen.</w:t>
      </w:r>
    </w:p>
    <w:p>
      <w:r>
        <w:t>Demnach wirdbeschlossen:</w:t>
      </w:r>
    </w:p>
    <w:p>
      <w:r>
        <w:t>1.Auf die Beschwerde wird nicht eingetreten.</w:t>
      </w:r>
    </w:p>
    <w:p>
      <w:r>
        <w:t>2.A.___ hat die Kosten des Beschwerdeverfahrens von CHF 500.00 zu bezahlen. Die Kosten werden mit dem von ihm geleisteten Kostenvorschuss verrechnet.</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Rechtspraktikant</w:t>
      </w:r>
    </w:p>
    <w:p>
      <w:r>
        <w:t>Kofmel                                                                              Wicki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