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ZKBES.2018.36 vom 16. Januar 2018</w:t>
      </w:r>
    </w:p>
    <w:p>
      <w:r>
        <w:t>SO Obergericht, 2018-01-16, DE</w:t>
      </w:r>
    </w:p>
    <w:p>
      <w:r>
        <w:rPr>
          <w:b/>
        </w:rPr>
        <w:t xml:space="preserve">Quelle: </w:t>
      </w:r>
      <w:r>
        <w:t>https://mcp.opencaselaw.ch/entscheid/so_gerichte_ZKBES.2018.36</w:t>
      </w:r>
    </w:p>
    <w:p>
      <w:r>
        <w:t>FR: SO_GERICHTE ZKBES.2018.36 du 16 janvier 2018</w:t>
      </w:r>
    </w:p>
    <w:p>
      <w:r>
        <w:t>IT: SO_GERICHTE ZKBES.2018.36 del 16 gennaio 2018</w:t>
      </w:r>
    </w:p>
    <w:p>
      <w:pPr>
        <w:pStyle w:val="Heading2"/>
      </w:pPr>
      <w:r>
        <w:t>Erwägungen</w:t>
      </w:r>
    </w:p>
    <w:p>
      <w:r>
        <w:rPr>
          <w:b/>
        </w:rPr>
        <w:t>E. 1</w:t>
      </w:r>
    </w:p>
    <w:p>
      <w:r>
        <w:t>In der Betreibung Nr. [...] des Betreibungsamtes Olten-Gösgen vom 4. August 2017 wird für den Betrag von CHF 512.40 die provisorische Rechtsöffnung erteilt.</w:t>
      </w:r>
    </w:p>
    <w:p>
      <w:r>
        <w:rPr>
          <w:b/>
        </w:rPr>
        <w:t>E. 2</w:t>
      </w:r>
    </w:p>
    <w:p>
      <w:r>
        <w:t>Der Gesuchsgegner hat der Gesuchstellerin die Betreibungskosten von CHF 53.30 zu ersetzen.</w:t>
      </w:r>
    </w:p>
    <w:p>
      <w:r>
        <w:rPr>
          <w:b/>
        </w:rPr>
        <w:t>E. 2.1</w:t>
      </w:r>
    </w:p>
    <w:p>
      <w:r>
        <w:t>Als Parteientschädigung gelten unter anderem die Kosten einer berufsmässigen Vertretung (Art. 95 Abs. 3 lit. b der Schweizerischen Zivilprozessordnung, ZPO, SR 272). Das Gericht spricht die Parteientschädigung nach den kantonalen Tarifen (Art. 96 ZPO) zu, wobei die Parteien eine Kostennote einreichen können (Art. 105 Abs. 2 ZPO). Zu berücksichtigen ist, dass nur der gebotene Aufwand, d.h. derjenige, der durch die bei objektiver Würdigung notwendig erscheinende Inanspruchnahme des Anwalts entstanden ist, zu vergüten ist. Was über dieses Mass hinausgeht, soll die Partei selber tragen (vgl. Martin H. Sterchi in: Heinz Hausheer et al. [Hrsg.], Berner Kommentar, Schweizerische Zivilprozessordnung, Bern 2012, Art. 95 N 14). Diesen Grundsatz bringt auch § 160 Abs. 1 des Gebührentarifs (GT, BGS 615.11) zum Ausdruck, welcher den Aufwand ebenfalls auf das Erforderliche beschränkt, und zwar nach dem Massstab einer sorgfältigen und pflichtgemässen Vertretung.</w:t>
      </w:r>
    </w:p>
    <w:p>
      <w:r>
        <w:rPr>
          <w:b/>
        </w:rPr>
        <w:t>E. 2.2</w:t>
      </w:r>
    </w:p>
    <w:p>
      <w:r>
        <w:t>Der Stundenansatz für die Bestimmung der Kosten der berufsmässigen Vertretung beträgt nach § 160 Abs. 2 GT CHF 230.00 bis CHF 330.00 zuzüglich Mehrwertsteuer, soweit sie durch Anwälte wahrgenommen wird. § 3 GT ist analog anwendbar. Letztere Bestimmung besagt in ihrem ersten Absatz, dass innerhalb des Gebührenrahmens die Gebühr nach dem Zeit- und Arbeitsaufwand, nach der Bedeutung des Geschäftes, nach dem Interesse an der Verrichtung sowie nach der wirtschaftlichen Leistungsfähigkeit des Gebührenpflichtigen zu bemessen ist.</w:t>
      </w:r>
    </w:p>
    <w:p>
      <w:r>
        <w:rPr>
          <w:b/>
        </w:rPr>
        <w:t>E. 3</w:t>
      </w:r>
    </w:p>
    <w:p>
      <w:r>
        <w:t>Der Gesuchsgegner hat der Gesuchstellerin eine Parteientschädigung von CHF 100.00 zu bezahlen.</w:t>
      </w:r>
    </w:p>
    <w:p>
      <w:r>
        <w:rPr>
          <w:b/>
        </w:rPr>
        <w:t>E. 3.1</w:t>
      </w:r>
    </w:p>
    <w:p>
      <w:r>
        <w:t>Die Rechtsvertreterin der Gesuchstellerin reichte vor Vorinstanz eine Kostennote über CHF 193.65 zu den Akten. Darin machte sie einen Aufwand von 0.7 Stunden à CHF 250.00 geltend. 3.2.1 Der Vorderrichter stellte zu Recht nicht in Abrede, dass der Gesuchstellerin zufolge anwaltlicher Vertretung und infolge Obsiegens ein Anspruch auf Entschädigung zusteht. 3.2.2 Der Vorderrichter sprach der Gesuchstellerin eine Parteientschädigung in der Höhe von CHF 100.00 zu und führte dazu begründend aus, es könne vorliegend nicht von der Notwendigkeit einer berufsmässigen Vertretung ausgegangen werden, weshalb sich die Zusprechung einer Parteientschädigung in der Höhe der eingereichten Kostennote nicht rechtfertigen lasse. Die Höhe der Parteientschädigung werde analog einer Umtriebsentschädigung entsprechend der gängigen Praxis bei einfachen Verfahren auf pauschal CHF 100.00 festgesetzt. 3.2.3 Die vorinstanzliche Begründung wirft die Frage auf, ob das Gericht bei der Bemessung einer Parteientschädigung an die obsiegende Partei die Notwendigkeit einer frei und rechtsgeschäftlich gewählten beruflichen Vertretung in Frage stellen darf. 3.2.4 Das Bundesgericht hat diese Frage mit Entscheid vom 13. Februar 2018 (5A_391/2017) verneint und dazu ausgeführt, es erscheine grundsätzlich unzulässig, die Parteientschädigung von einer Überprüfung der Notwendigkeit der berufsmässigen Vertretung als solcher abhängig zu machen (Erw. 3.5). 3.2.5 Für den vorliegenden Fall bedeutet dies, dass die Vorinstanz die Parteientschädigung nicht mit der Begründung verweigern durfte, eine anwaltliche Vertretung im erstinstanzlichen Rechtsöffnungsverfahren sei gar nicht nötig gewesen. Die Parteientschädigung ist anhand des kantonalen Tarifs zu bestimmen. Da dies der Vorderrichter nicht getan hat, ist die Angelegenheit an die Vorinstanz zurückzuweisen, damit diese über die der Beschwerdeführerin zustehende Parteientschädigung für das erstinstanzliche Verfahren befinden kann.</w:t>
      </w:r>
    </w:p>
    <w:p>
      <w:r>
        <w:rPr>
          <w:b/>
        </w:rPr>
        <w:t>E. 4</w:t>
      </w:r>
    </w:p>
    <w:p>
      <w:r>
        <w:t>Die Gesuchstellerin hat die Gerichtskosten von CHF 150.00 bevorschusst. Der Gesuchsgegner hat ihr diese zurückzuerstatten.</w:t>
      </w:r>
    </w:p>
    <w:p>
      <w:r>
        <w:rPr>
          <w:b/>
        </w:rPr>
        <w:t>E. 4.1</w:t>
      </w:r>
    </w:p>
    <w:p>
      <w:r>
        <w:t>Die Beschwerde ist demnach gutzuheissen und Ziffer 3 des Urteils des Amtsgerichtspräsidenten vom 16. Januar 2018 ist aufzuheben. Zur Festsetzung einer Parteientschädigung für das erstinstanzliche Verfahren geht die Sache zurück an die Vorinstanz. Sie wird darüber zu entscheiden haben, ob die von der Beschwerdeführerin geltend gemachten Aufwendungen objektiv geboten waren und ob der verlangte Stundenansatz angemessen ist. Es käme einer Verletzung des rechtlichen Gehörs gleich, wenn das Obergericht die Parteientschädigung selbst bemessen würde. Zudem verlören die Parteien die ordentliche Rechtsmittelinstanz.</w:t>
      </w:r>
    </w:p>
    <w:p>
      <w:r>
        <w:rPr>
          <w:b/>
        </w:rPr>
        <w:t>E. 4.2</w:t>
      </w:r>
    </w:p>
    <w:p>
      <w:r>
        <w:t>Beim vorliegenden Verfahrensausgang sind die Kosten des Verfahrens vor Obergericht in der Höhe von CHF 500.00 dem Beschwerdegegner aufzuerlegen. Zufolge Verrechnung mit dem geleisteten Kostenvorschuss, hat der Beschwerdegegner der Beschwerdeführerin die CHF 500.00 direkt zu bezahlen.</w:t>
      </w:r>
    </w:p>
    <w:p>
      <w:r>
        <w:rPr>
          <w:b/>
        </w:rPr>
        <w:t>E. 4.3</w:t>
      </w:r>
    </w:p>
    <w:p>
      <w:r>
        <w:t>Der Beschwerdegegner hat die Beschwerdeführerin für das Beschwerdeverfahren zu entschädigen. Wie bereits erwähnt, setzt der Richter die Kosten der berufsmässigen Vertretung und die Entschädigung des Rechtsanwalts nach dem Aufwand fest, welcher für eine sorgfältige und pflichtgemässe Vertretung erforderlich ist (vgl. Erw. II/2.1 hievor). Rechtsanwältin Andenmatten hat bereits am 27. Februar 2018 zusammen mit ihrer Beschwerdeschrift eine Honorarnote über CHF 597.95 eingereicht. Darin macht sie einen Zeitaufwand von 2.30 Stunden sowie Auslagen von CHF 8.20 und MwSt. geltend. Bei der Festsetzung der Parteientschädigung ist dem Umstand Rechnung zu tragen, dass von der Beschwerdeführerin vor Obergericht diverse Parallelfälle anhängig gemacht worden sind, wobei sich die Rechtsschriften in den einzelnen Verfahren grösstenteils entsprechen. Der Stundenansatz für die Bestimmung der Kosten der berufsmässigen Vertretung beträgt wie bereits vorerwähnt zwischen CHF 230.00 bis CHF 330.00 (§ 160 Abs. 2 Gebührentarif, GT, BGS 615.11). In einem vergleichbaren Verfahren (ZKBES.2017.38) hat Rechtsanwältin Andenmatten für eine Kostenbeschwerde einen Aufwand (inkl. nicht zu vergütenden Kanzleiaufwand) von 3.3 Stunden à CHF 230.00 verrechnet. Auch vorliegend ist deshalb mit einem Stundenansatz von CHF 230.00 zu verrechnen. Unter Berücksichtigung der genutzten Synergieeffekte erscheint ein Zeitaufwand von zwei Stunden für sämtliche im Zusammenhang mit dem Beschwerdeverfahren angefallenen Aufwände als angemessen. Der Beschwerdegegner hat der Beschwerdeführerin folglich für das Beschwerdeverfahren eine Entschädigung von CHF 504.25 (inkl. MwSt. und Auslagen)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