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ZKBER.2025.62 vom 7. April 2026</w:t>
      </w:r>
    </w:p>
    <w:p>
      <w:r>
        <w:t>SO Obergericht, 2026-04-07, DE</w:t>
      </w:r>
    </w:p>
    <w:p>
      <w:r>
        <w:rPr>
          <w:b/>
        </w:rPr>
        <w:t xml:space="preserve">Quelle: </w:t>
      </w:r>
      <w:r>
        <w:t>https://mcp.opencaselaw.ch/entscheid/so_gerichte_ZKBER.2025.62</w:t>
      </w:r>
    </w:p>
    <w:p>
      <w:r>
        <w:t>FR: SO_GERICHTE ZKBER.2025.62 du 7 avril 2026</w:t>
      </w:r>
    </w:p>
    <w:p>
      <w:r>
        <w:t>IT: SO_GERICHTE ZKBER.2025.62 del 7 aprile 2026</w:t>
      </w:r>
    </w:p>
    <w:p>
      <w:pPr>
        <w:pStyle w:val="Heading2"/>
      </w:pPr>
      <w:r>
        <w:t>Erwägungen</w:t>
      </w:r>
    </w:p>
    <w:p>
      <w:r>
        <w:rPr>
          <w:b/>
        </w:rPr>
        <w:t>E. 6</w:t>
      </w:r>
    </w:p>
    <w:p>
      <w:r>
        <w:t>Aufgrund des Gesagten erweist sich die Berufung insgesamt als unbegründet. Sie ist vollumfänglich abzuweisen.</w:t>
      </w:r>
    </w:p>
    <w:p>
      <w:r>
        <w:rPr>
          <w:b/>
        </w:rPr>
        <w:t>E. 7</w:t>
      </w:r>
    </w:p>
    <w:p>
      <w:r>
        <w:t>Beim vorliegenden Verfahrensausgang hat die Berufungsklägerin die Kosten des Verfahrens vor Obergericht in der Höhe von CHF 1'500.00 zu bezahlen. Diese werden mit dem von ihr geleisteten Kostenvorschuss in gleicher Höhe verrechnet. Zudem hat die Berufungsklägerin dem Berufungsbeklagten eine Parteientschädigung zu entrichten. Der Stundenansatz für die Bestimmung der Kosten der berufsmässigen Vertretung beträgt CHF 250.00  350.00 zuzüglich MwSt. (§ 160 Abs. 2 und 4 des Gebührentarifs [GT, BGS 615.11] i.V.m. Ziff. 2.a des Beschlusses der Gerichtsverwaltungskommission vom 19. Dezember 2022 [GVB.2022.111]). Rechtsanwalt Caspar Zellweger machte mit Honorarnote vom 22. Dezember 2025 einen Aufwand von 12.60 Stunden à CHF 330.00 geltend. Der Aufwand erscheint angemessen, jedoch ist der Stundenansatz aufgrund der nicht aussergewöhnlichen Komplexität des Falles und aufgrund einer fehlenden Honorarvereinbarung auf CHF 280.00 zu reduzieren. Dies führt zu einem Aufwand in Höhe von CHF 3'528.00 zuzüglich Auslagen von 3 % (CHF 105.85) sowie MwSt. (CHF 294.35), womit eine Parteientschädigung von CHF 3'928.20 resultiert.</w:t>
      </w:r>
    </w:p>
    <w:p>
      <w:r>
        <w:t>Demnach wirderkannt:</w:t>
      </w:r>
    </w:p>
    <w:p>
      <w:r>
        <w:t>1.Die Berufung wird abgewiesen.</w:t>
      </w:r>
    </w:p>
    <w:p>
      <w:r>
        <w:t>2.Ziff. 4 des Urteils der Amtsgerichtspräsidentin von Dorneck-Thierstein vom 21. Oktober 2025 wird aufgehoben und lautet neu wie folgt: Die Amtschreiberei Dorneck, Grundbuchamt, wird angewiesen, das gemäss Verfügung vom 16. April 2025 superprovisorisch eingetragene Bauhandwerkerpfandrecht auf Grundbuch (GB) [...] Nr. [...], Pfandsumme CHF 70'085.80 nebst Zins zu 5 % seit dem 14. März 2025, zu Gunsten der A.___ AG, nach unbenutztem Ablauf der Rechtsmittelfrist zu löschen.</w:t>
      </w:r>
    </w:p>
    <w:p>
      <w:r>
        <w:t>3.Die A.___ AG hat die Kosten des Berufungsverfahrens von CHF 1'500.00 zu bezahlen. Sie werden mit dem von ihr geleisteten Kostenvorschuss in gleicher Höhe verrechnet.</w:t>
      </w:r>
    </w:p>
    <w:p>
      <w:r>
        <w:t>4.Die A.___ AG hat B.___ für das Berufungsverfahren eine Parteientschädigung in der Höhe von CHF 3'928.20 zu bezahlen.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Kofmel                                                                               Zimmermann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