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ZKBER.2024.10 vom 26. Juli 2024</w:t>
      </w:r>
    </w:p>
    <w:p>
      <w:r>
        <w:t>SO Obergericht, 2024-07-26, DE</w:t>
      </w:r>
    </w:p>
    <w:p>
      <w:r>
        <w:rPr>
          <w:b/>
        </w:rPr>
        <w:t xml:space="preserve">Quelle: </w:t>
      </w:r>
      <w:r>
        <w:t>https://mcp.opencaselaw.ch/entscheid/so_gerichte_ZKBER.2024.10_d20240726</w:t>
      </w:r>
    </w:p>
    <w:p>
      <w:r>
        <w:t>FR: SO_GERICHTE ZKBER.2024.10 du 26 juillet 2024</w:t>
      </w:r>
    </w:p>
    <w:p>
      <w:r>
        <w:t>IT: SO_GERICHTE ZKBER.2024.10 del 26 luglio 2024</w:t>
      </w:r>
    </w:p>
    <w:p>
      <w:pPr>
        <w:pStyle w:val="Heading2"/>
      </w:pPr>
      <w:r>
        <w:t>Regeste</w:t>
      </w:r>
    </w:p>
    <w:p>
      <w:r>
        <w:t>Kindesunterhalt und weitere Kinderbelange</w:t>
      </w:r>
    </w:p>
    <w:p>
      <w:pPr>
        <w:pStyle w:val="Heading2"/>
      </w:pPr>
      <w:r>
        <w:t>Erwägungen</w:t>
      </w:r>
    </w:p>
    <w:p>
      <w:r>
        <w:rPr>
          <w:b/>
        </w:rPr>
        <w:t>E. 1</w:t>
      </w:r>
    </w:p>
    <w:p>
      <w:r>
        <w:t>Die Berufungsklägerin ersuchte (auch) für das Berufungsverfahren um Gewährung der integralen unentgeltlichen Rechtspflege. Sie ist ausgewiesen prozessarm. Ihr Gesuch ist daher zu bewilligen.</w:t>
      </w:r>
    </w:p>
    <w:p>
      <w:r>
        <w:rPr>
          <w:b/>
        </w:rPr>
        <w:t>E. 2</w:t>
      </w:r>
    </w:p>
    <w:p>
      <w:r>
        <w:t>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rPr>
          <w:b/>
        </w:rPr>
        <w:t>E. 3</w:t>
      </w:r>
    </w:p>
    <w:p>
      <w:r>
        <w:t>Die Berufungsklägerin ist mit ihrer Berufung gegen das verfügte Ferienrecht unterlegen. Hingegen hat sie betreffend den verfügten Unterhalt (teilweise) obsiegt. Der Berufungsbeklagte ist mit seinem Antrag auf Ausweitung des Besuchsrecht unterlegen. Die Kosten des Berufungsverfahrens sind deshalb den Parteien je hälftig zu auferlegen und die Parteikosten sind wettzuschlagen.</w:t>
      </w:r>
    </w:p>
    <w:p>
      <w:r>
        <w:rPr>
          <w:b/>
        </w:rPr>
        <w:t>E. 3.13</w:t>
      </w:r>
    </w:p>
    <w:p>
      <w:r>
        <w:t>Das Einkommen der Kindsmutter in der Höhe von CHF 1'450.00 (45 %) ist unbestritten.</w:t>
      </w:r>
    </w:p>
    <w:p>
      <w:r>
        <w:rPr>
          <w:b/>
        </w:rPr>
        <w:t>E. 3.14</w:t>
      </w:r>
    </w:p>
    <w:p>
      <w:r>
        <w:t>Betreffend die Bedarfszahlen ist im Nachfolgenden im Einzelnen auf die Rügen der Berufungsklägerin einzugehen, soweit die Bedarfszahlen nicht bestritten sind, wird auf die Ausführungen der Vorderrichterin verwiesen (Grundbetrag: Kindsvater CHF 1'200.00, Kindsmutter CHF 1'350.00, Kind CHF 400.00 bzw. CHF 600.00; Miete/Hypothekarzins (inkl. Nebenkosten): Kindsvater CHF 498.00, Kindsmutter CHF 1'013.00, Kind CHF 207.00; Krankenversicherungsprämien Erwachsene: Kindsvater CHF 419.00, Kindsmutter CHF 0.00; Arbeitsweg: Kindsvater CHF 0.00, Kindsmutter CHF 97.00; laufende Steuern: anteilsmässig berechnet, sofern kein Manko; Unterhaltsbeiträge an Dritte: Kindsvater CHF 260.00). 3.14.1  Die Berufungsklägerin moniert, es sei ihr für auswärtiges Essen ein Betrag von CHF 100.00 (45/50 %-Pensum) bzw. von CHF 180.00 (80 %-Pensum) zuzugestehen. Beiden Kindseltern seien CHF 100.00 Telekommunikation/Mobiliarversicherung von je CHF 100.00 anzurechnen. Es liege keine Mankosituation vor. Deshalb und weil die Zusatzversicherung die anstehenden hohen Kosten für die dringend anstehende Zahnsanierung der Tochter decke, seien ihr die Kosten für das VVG in der Höhe von CHF 60.00 anzurechnen. Ferner seien Fremdbetreuungskosten in der Höhe von CHF 280.00 bis zum Übertritt in die Sekundarstufe zu berücksichtigen. Die ältere Tochter des Berufungsbeklagten sei nur bis zu ihrer Volljährigkeit bei der Unterhaltsberechnung miteinzurechnen. 3.14.2  Die Vorderrichterin erwog, es liege ein Mankofall vor, weswegen beim Bedarf weder eine Pauschale für Telekommunikation/Mobiliarversicherung noch allfällige Kosten VVG (oder Steuern) zu berücksichtigen seien. Sie verweist dabei auf BGE 147 III 265. 3.14.3  BGE 147 III 265 lässt sich Folgendes entnehmen (E. 7.2): Bei der Bedarfsermittlung bzw. der Ermittlung des gebührenden Unterhalts bilden die «Richtlinien der Konferenz der Betreibungs- und Konkursbeamten der Schweiz für die Berechnung des betreibungsrechtlichen Existenzminimums»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 Soweit es die finanziellen Mittel zulassen, ist jedoch der gebührende Unterhalt zwingend auf das sog. familienrechtliche Existenzminimum zu erweitern, auf welches diesfalls Anspruch besteht.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3.14.4  Aufgrund der vorzitierten Rechtsprechung ist nicht zu beanstanden, dass die Vorderrichterin, welche ein Manko berechnete, die Position Telekommunikation/Mobiliarversicherung bei den Kindseltern unberücksichtigt liess. Sobald keine Mankosituation mehr vorliegt (wenn beim Kindsvater von einem hypothetischen Einkommen von CHF 4'200.00 ausgegangen wird), ist die entsprechende Position bei beiden Elternteilen (aber) anzurechnen. Der Tochter sind die Kosten VVG so oder anders anzurechnen. Es ist unbestritten, dass sie sich einer Zahnbehandlung unterziehen muss (siehe auch Gutachten, S. 109, Befragung der Kindsmutter vom 15. November 2023, N 202 ff., Verhandlungsprotokoll vom 15. November 2023, S. 5). Die aufgrund der offensichtlich anstehenden Zahnbehandlungen des Kindes zu erwartende Kostenersparnis rechtfertigt es, die Prämie für das VVG in der (ausgewiesenen) Höhe von CHF 60.00 zu berücksichtigen (Beilage Nr. 47 der Kindsmutter). 3.14.5  Das Bundesgericht hielt in BGE 147 III 265 E. 7.3 fest, dass der Volljährigenunterhalt – unter Vorbehalt von Art. 276a Abs. 2 ZGB – nicht nur hinter dem betreibungsrechtlichen, sondern auch hinter dem familienrechtlichen Existenzminimum der übrigen Unterhaltsgläubiger zurückstehen muss. Die Vorderrichterin hat ab dem Zeitpunkt, in welchem die ältere Tochter des Kindsvaters volljährig wird, deren Positionen nicht mehr berücksichtigt. Folglich ist nicht erkennbar, was die Kindsmutter mit ihrer Rüge erreichen will. 3.14.6  Die Fremdbetreuungskosten wären nach dem Gesagten bereits bei der Berechnung des betreibungsrechtlichen Existenzminimums zu berücksichtigen. Es ist unbestritten, dass die Tochter (teilweise) fremdbetreut wird. Anlässlich der Befragung wies der Gutachter darauf hin, dass die Kita dann eine gute Möglichkeit sei, wenn die Eltern, welche ein Betreuungsangebot machen müssten, nicht da seien, weil sie berufstätig seien. Wenn das Kind im Kindergarten sei, habe es viele soziale Kontakte mit gleichaltrigen Kindern. Er finde, die Kita brauche es nicht unbedingt. Es sei aus seiner Sicht nicht zwingend, dass das Kind dorthin gehe, aber wenn die Kindsmutter finde, es tue dem Kind gut, sei das sicher eine tolle Abwechslung (vgl. Befragung vom 15. November 2023, N 139 ff.). Die Kindsmutter führte anlässlich ihrer Befragung vor der Vorderrichterin aus, es sei nicht so, dass sie (das Kind) in eine Kita gehen müsse, sondern, dass sie (das Kind) unter Kindern sei. Darauf lege sie Wert. Es seien ihre «Gspändli» dort (N 100 ff.). Gemäss Ausführungen des Beistands vom 30. Oktober 2023 besucht die Tochter die Kita jeweils donnerstags ab dem Mittag (AS 934). In der Steuererklärung 2021 deklarierte die Kindsmutter Kinderbetreuungskosten in der Höhe von CHF 1'220.00, monatlich CHF 101.00 (Beilage Nr. 59 der Kindsmutter). In derjenigen für das Jahr 2022, solche von CHF 2'410.00, monatlich CHF 200.00 (Beilage Nr. 58 der Kindsmutter). Gegenüber der Vorderrichterin führte die Kindsmutter aus, ab Sommer (2023) würden sich die Kosten für die Kita (für vier Donnerstage im Monat) auf CHF 280.00 belaufen. Diese würden (noch immer) voll von der EL gedeckt. Sie gehe davon aus, dass das auch weiterhin von der EL übernommen werde. Im Moment bezahle sie nichts «oobedruf» (N 131 ff.). Die Kosten für die Fremdbetreuung sind also nicht von der Kindsmutter zu tragen. Ohnehin hätten sie dem Kind längstens so lange angerechnet werden können, als es noch nicht in den Kindergarten (Sommer 2023) ging (vgl. dazu auch die Befragung des Sachverständigen vom 15. November 2023, N 134 ff.). Folglich ist nicht zu beanstanden, dass die Vorderrichterin keine Fremdbetreuungskosten berücksichtigte. 3.14.7  Die Vorderrichterin rechnete der Kindsmutter ab Aufnahme eines 80 %-Pensums einen Zuschlag für auswärtige Verpflegung von CHF 100.00 an. Sie erwog dazu, aufgrund des höheren Pensums (80 %) werde sich die Kindsmutter öfters auswärts verpflegen müssen. Ihr sei demgemäss ein praxisgemässer Zuschlag für auswärtige Verpflegungskosten anzurechnen. In den Phasen zuvor, rechnete die Vorderrichterin der Kindsmutter keinen Betrag für auswärtige Verpflegung an. Eine Begründung dafür lässt sich dem Entscheid nicht entnehmen. Die üblichen Kosten für Nahrung sind grundsätzlich bereits im Grundbetrag enthalten (vgl. die vorzitierten Richtlinien für die Berechnung des betreibungsrechtlichen Existenzminimums). Bei der Bedarfsposition «Mehrkosten Verpflegung» können daher nur darüber hinausgehende Mehrauslagen berücksichtigt werden, die vom Anspruchsberechtigten nachzuweisen sind. In engen finanziellen Verhältnissen werden Kosten für auswärtige Verpflegung praxisgemäss nur dann zusätzlich zum Grundbetrag in der Bedarfsrechnung berücksichtigt, wenn das Mittagessen zwingend in einem Restaurant eingenommen werden muss. Es ist nicht zu beanstanden, dass die Vorderrichterin der Berufungsklägerin in den Phasen, in welchen sie zu 50 % erwerbstätig ist, keine Auslagen für auswärtige Verpflegung angerechnet hat. Bei Konstellationen wie den vorliegenden darf von einem Elternteil erwartet werden, dass er sich etwas zu Essen von zu Hause mitnimmt. Zudem wird von der Kindsmutter nicht einmal behauptet, dass sie sich auswärts verpflegt. Wenn die Vorderrichterin der Kindsmutter bei der Aufnahme eines 80 %-Pensums Kosten von CHF 100.00 anrechnet, liegt das in ihrem Ermessen. 3.14.8  Die Kinderzulagen im Kanton Solothurn betragen CHF 200.00, im Kanton Bern CHF 230.00. Die Ausbildungszulagen im Kanton Solothurn betragen CHF 250.00, im Kanton Bern CHF 290.00. 3.15.1  Aufgrund des Gesagten, hat der Kindsvater für die Tochter C.___ monatlich vorauszahlbare (gerundete) Unterhaltsbeiträge wie folgt zu bezahlen: Der Kindsvater hat für die Tochter C.___ monatlich vorauszahlbare Unterhaltsbeiträge wie folgt zu bezahlen: · Phase 1: 19. Februar 2021 bis 31. Dezember 2024: CHF 260.00 (Barunterhalt) · Phase 2: 1. Januar 2025 bis 31. Dezember 2026: CHF 1'515.00 (CHF 457.00 Barunterhalt; CHF 1'059.00 Betreuungsunterhalt) · Phase 3: 1. Januar 2027 bis 30. Juni 2028: CHF 1'640.00 (CHF 569.00 Barunterhalt; 1'069.00 Betreuungsunterhalt) · Phase 4: 1. Juli 2028 bis 31. Juli 2031: CHF 1'795.00 (CHF 713.00 Barunterhalt; CHF 1'083.00 Betreuungsunterhalt) · Phase 5: 1. August 2031 bis 30. November 2032: CHF 1'095.00 (CHF 1'013.00 Barunterhalt; CHF 83.00 Betreuungsunterhalt) · Phase 6: ab 1. Dezember 2032: Unterhaltsbeiträge in der Höhe der dannzumal zu beziehenden AHV-Kinderrente 3.15.2 Betreffend die erste Phase ist anzumerken, dass sich mit den genannten Zahlen eine Unterhaltspflicht in der Höhe von CHF 240.00 errechnen liesse. Da der Kindsvater aber offensichtlich in der Lage war und ist, monatlich CHF 260.00 zu bezahlen, ist von diesem Betrag auszugehen. III. 1. Die Berufungsklägerin ersuchte (auch) für das Berufungsverfahren um Gewährung der integralen unentgeltlichen Rechtspflege. Sie ist ausgewiesen prozessarm. Ihr Gesuch ist daher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Die Berufungsklägerin ist mit ihrer Berufung gegen das verfügte Ferienrecht unterlegen. Hingegen hat sie betreffend den verfügten Unterhalt (teilweise) obsiegt. Der Berufungsbeklagte ist mit seinem Antrag auf Ausweitung des Besuchsrecht unterlegen. Die Kosten des Berufungsverfahrens sind deshalb den Parteien je hälftig zu auferlegen und die Parteikosten sind wettzuschlagen.</w:t>
      </w:r>
    </w:p>
    <w:p>
      <w:r>
        <w:rPr>
          <w:b/>
        </w:rPr>
        <w:t>E. 4</w:t>
      </w:r>
    </w:p>
    <w:p>
      <w:r>
        <w:t>Die Gerichtskosten des Berufungsverfahrens (inkl. Kosten für die Vertretung des Kindes in der Höhe von CHF 1'537.65) werden auf CHF 4'537.65 festgesetzt und den Parteien je zur Hälfte (und damit zu je CHF 2'268.85) auferlegt. Zufolge unentgeltlicher Rechtspflege der Berufungsklägerin trägt ihren Anteil der Staat Solothurn. Vorbehalten bleibt der Rückforderungsanspruch des Staates während 10 Jahren, sobald die Berufungsklägerin zur Nachzahlung in der Lage ist.</w:t>
      </w:r>
    </w:p>
    <w:p>
      <w:r>
        <w:rPr>
          <w:b/>
        </w:rPr>
        <w:t>E. 5</w:t>
      </w:r>
    </w:p>
    <w:p>
      <w:r>
        <w:t>Die Parteikosten werden wettgeschlagen.</w:t>
      </w:r>
    </w:p>
    <w:p>
      <w:r>
        <w:rPr>
          <w:b/>
        </w:rPr>
        <w:t>E. 6</w:t>
      </w:r>
    </w:p>
    <w:p>
      <w:r>
        <w:t>Die von der Rechtsvertreterin der Berufungsklägerin eingereichte Kostennote gibt zu keinen Bemerkungen Anlass. Sie wird antragsgemäss auf CHF 3'170.25 (inkl. MwSt. und Auslagen) festgesetzt. Zufolge unentgeltlicher Rechtspflege hat der Staat Rechtsanwältin Frech einen Betrag von CHF 3'170.25 zu bezahlen. Vorbehalten bleibt der Rückforderungsanspruch des Staates während 10 Jahren, sobald die Berufungsklägerin zur Nachzahlung in der Lage ist (Art. 123 ZPO).</w:t>
      </w:r>
    </w:p>
    <w:p>
      <w:r>
        <w:t>Demnach wirderkannt:</w:t>
      </w:r>
    </w:p>
    <w:p>
      <w:r>
        <w:t>1.In teilweiser Gutheissung der Berufung werden die Ziffern 15. und 16. des Urteils der Amtsgerichtspräsidentin von Solothurn-Lebern vom 15. November 2023 aufgehoben. Sie lauten neu wie folgt:</w:t>
      </w:r>
    </w:p>
    <w:p>
      <w:r>
        <w:t>Die Kinder- und Ausbildungszulagen sind in diesen Beiträgen nicht inbegriffen. Sie sollender Tochterjedoch zusätzlich zukommen. Der Kindsvater hat die Kinder- und Ausbildungszulagen sowie die Renten, zu deren Einforderung er berechtigt ist,der Tochterweiterzuleiten.</w:t>
      </w:r>
    </w:p>
    <w:p>
      <w:r>
        <w:t>Die Unterhaltspflicht gegenüberder Tochterdauert über die Volljährigkeit hinaus bis zum Abschluss einer ordentlichen Ausbildung.</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