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ZKBER.2019.2 vom 22. August 2019</w:t>
      </w:r>
    </w:p>
    <w:p>
      <w:r>
        <w:t>SO Obergericht, 2019-08-22, DE</w:t>
      </w:r>
    </w:p>
    <w:p>
      <w:r>
        <w:rPr>
          <w:b/>
        </w:rPr>
        <w:t xml:space="preserve">Quelle: </w:t>
      </w:r>
      <w:r>
        <w:t>https://mcp.opencaselaw.ch/entscheid/so_gerichte_ZKBER.2019.2</w:t>
      </w:r>
    </w:p>
    <w:p>
      <w:r>
        <w:t>FR: SO_GERICHTE ZKBER.2019.2 du 22 août 2019</w:t>
      </w:r>
    </w:p>
    <w:p>
      <w:r>
        <w:t>IT: SO_GERICHTE ZKBER.2019.2 del 22 agosto 2019</w:t>
      </w:r>
    </w:p>
    <w:p>
      <w:pPr>
        <w:pStyle w:val="Heading2"/>
      </w:pPr>
      <w:r>
        <w:t>Erwägungen</w:t>
      </w:r>
    </w:p>
    <w:p>
      <w:r>
        <w:rPr>
          <w:b/>
        </w:rPr>
        <w:t>E. 2</w:t>
      </w:r>
    </w:p>
    <w:p>
      <w:r>
        <w:t>Frist- und formgerecht erhob die A.___ GmbH im Anschluss an die nachträgliche Zustellung der Entscheidbegründung Berufung gegen das Urteil. Die A.___ GmbH (nachfolgend als Berufungsklägerin oder Beklagte bezeichnet) stellt den Antrag, sie sei zur Zahlung von Verzugszinsen von 5 % auf dem Betrag von CHF 40'000.00 für die Zeit vom 24. Juli 2016 bis am 4. Mai 2017 zu verpflichten. Im Übrigen sei die Klage in Aufhebung des Urteils vom 18. Mai 2018 abzuweisen, soweit sie nicht durch ihre Zahlung vom 5. Mai 2017 anerkannt worden sei. Die B.___ AG (nachfolgend als Berufungsbeklagte oder Klägerin bezeichnet) beantragt, die Berufung abzuweisen, soweit darauf einzutreten sei.</w:t>
      </w:r>
    </w:p>
    <w:p>
      <w:r>
        <w:rPr>
          <w:b/>
        </w:rPr>
        <w:t>E. 2.4</w:t>
      </w:r>
    </w:p>
    <w:p>
      <w:r>
        <w:t>Die weiteren Ausführungen der Berufungsklägerin (Ziffer 11  13) beinhalten reine Vermutungen des Geschäftsführers der Beklagten (Ziffer 11) beziehungsweise appellatorische Kritik am angefochtenen Urteil (Ziffern 12 und 13), ohne aufzuzeigen, welche Folgerungen daraus zu ziehen wären. Es erübrigt sich deshalb, darauf weiter einzugehen.</w:t>
      </w:r>
    </w:p>
    <w:p>
      <w:r>
        <w:rPr>
          <w:b/>
        </w:rPr>
        <w:t>E. 2.5</w:t>
      </w:r>
    </w:p>
    <w:p>
      <w:r>
        <w:t>Die von der Klägerin geltend gemachte Menge von 289,850 m3sowie das Gewicht von 521,73 Tonnen erachtete die Vorinstanz nach dem Gesagten zu Recht als belegt. Die fakturierten Beträge von CHF 16.20 pro m3und CHF 95.00 pro Tonne blieben unbestritten. Der am 24. Juni 2016 der Beklagten in Rechnung gestellte Gesamtbetrag von CHF 54'557.25 ist daher  nach Einbezug von Rabatt, dem unbestrittenen Skonto und der Mehrwertsteuer - ausgewiesen. Nach Abzug des bezahlten Betrages von CHF 40'000.00 schuldet die Beklagte somit noch CHF 14'557.25. Das Urteil des Amtsgerichts ist folglich in jeder Hinsicht korrekt. Die Berufung muss vollumfänglich abgewiesen werden.</w:t>
      </w:r>
    </w:p>
    <w:p>
      <w:r>
        <w:rPr>
          <w:b/>
        </w:rPr>
        <w:t>E. 3</w:t>
      </w:r>
    </w:p>
    <w:p>
      <w:r>
        <w:t>Die Kosten des Berufungsverfahrens hat dem Ausgang entsprechend die Berufungsklägerin zu tragen. Die von ihr der Berufungsbeklagten zu bezahlende Parteientschädigung ist gestützt auf die vom Vertreter der Berufungsbeklagten eingereichte Honorarnote auf CHF 1'645.65 (inkl. Auslagen und MwSt.) festzusetzen.</w:t>
      </w:r>
    </w:p>
    <w:p>
      <w:r>
        <w:t>Demnach wirderkannt:</w:t>
      </w:r>
    </w:p>
    <w:p>
      <w:r>
        <w:t>1.Die Berufung wird abgewiesen.</w:t>
      </w:r>
    </w:p>
    <w:p>
      <w:r>
        <w:t>2.Die Kosten des Berufungsverfahrens von CHF 4000.00 auferliegen der A.___ GmbH. Sie werden mit dem von ihr geleisteten Kostenvorschuss verrechnet.</w:t>
      </w:r>
    </w:p>
    <w:p>
      <w:r>
        <w:t>3.Die A.___ GmbH hat der B.___ AG für das Berufungsverfahren eine Parteientschädigung von CHF 1'645.65 zu bezahlen.</w:t>
      </w:r>
    </w:p>
    <w:p>
      <w:r>
        <w:t>Rechtsmittel:Der Streitwert beträgt CHF 14'557.25</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