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VWBES.2024.246 vom 23. Mai 2025</w:t>
      </w:r>
    </w:p>
    <w:p>
      <w:r>
        <w:t>SO Obergericht, 2025-05-23, DE</w:t>
      </w:r>
    </w:p>
    <w:p>
      <w:r>
        <w:rPr>
          <w:b/>
        </w:rPr>
        <w:t xml:space="preserve">Quelle: </w:t>
      </w:r>
      <w:r>
        <w:t>https://mcp.opencaselaw.ch/entscheid/so_gerichte_VWBES.2024.246_d20250523</w:t>
      </w:r>
    </w:p>
    <w:p>
      <w:r>
        <w:t>FR: SO_GERICHTE VWBES.2024.246 du 23 mai 2025</w:t>
      </w:r>
    </w:p>
    <w:p>
      <w:r>
        <w:t>IT: SO_GERICHTE VWBES.2024.246 del 23 maggio 2025</w:t>
      </w:r>
    </w:p>
    <w:p>
      <w:pPr>
        <w:pStyle w:val="Heading2"/>
      </w:pPr>
      <w:r>
        <w:t>Regeste</w:t>
      </w:r>
    </w:p>
    <w:p>
      <w:r>
        <w:t>Bonus-Malus-Ausgleich zur Ausbildungsverpflichtung</w:t>
      </w:r>
    </w:p>
    <w:p>
      <w:pPr>
        <w:pStyle w:val="Heading2"/>
      </w:pPr>
      <w:r>
        <w:t>Erwägungen</w:t>
      </w:r>
    </w:p>
    <w:p>
      <w:r>
        <w:rPr>
          <w:b/>
        </w:rPr>
        <w:t>E. 1</w:t>
      </w:r>
    </w:p>
    <w:p>
      <w:r>
        <w:t>Im Kanton Solothurn sind u.a. Alters- und Pflegeheime verpflichtet, sich angemessen an der Aus- und Weiterbildung der nicht-universitären Gesundheitsberufe zu beteiligen. Erfüllt ein zur Aus- und Weiterbildung verpflichteter Betrieb die festgelegte Ausbildungsleistung nicht, wird eine Ersatzvornahme angeordnet und die entsprechenden Leistungen eingekauft. Der säumige Betrieb hat die entstandenen Kosten zu tragen.</w:t>
      </w:r>
    </w:p>
    <w:p>
      <w:r>
        <w:rPr>
          <w:b/>
        </w:rPr>
        <w:t>E. 2</w:t>
      </w:r>
    </w:p>
    <w:p>
      <w:r>
        <w:t>Am 15. Juni 2023 erliess die Stiftung C.___ folgende Verfügung:</w:t>
      </w:r>
    </w:p>
    <w:p>
      <w:r>
        <w:t>Gestützt auf § 22bisSG, 3bisAbs. 1 und § 3terSV sowie das Reglement der C.___ vom 5. September 2019 wird verfügt:</w:t>
      </w:r>
    </w:p>
    <w:p>
      <w:r>
        <w:rPr>
          <w:b/>
        </w:rPr>
        <w:t>E. 2.1</w:t>
      </w:r>
    </w:p>
    <w:p>
      <w:r>
        <w:t>Feststellungsbegehren sind im Verhältnis zu Leistungs- oder Gestaltungsbegehren subsidiär. Sie sind nur zulässig, sofern an der Feststellung ein schutzwürdiges Interesse besteht und dieses nicht ebenso gut mit einem Leistungsbegehren gewahrt werden kann (vgl. Urteil des Bundesgerichts 8C_130/2024 E. 1.2, mit weiteren Hinweisen). Vor der Vorinstanz verlangte die Beschwerdeführerin die Feststellung der Nichtigkeit der Verfügung der C.___ vom 15. Juni 2023, eventualiter die vollumfängliche Aufhebung der Verfügung. Die Vorinstanz erkannte auf Anfechtbarkeit der Verfügung und hob die Verfügung teilweise auf. Im vorliegenden Verfahren wird wiederum die Feststellung der Nichtigkeit der Verfügung der C.___ vom 15. Juni 2023 beantragt.</w:t>
      </w:r>
    </w:p>
    <w:p>
      <w:r>
        <w:rPr>
          <w:b/>
        </w:rPr>
        <w:t>E. 2.2</w:t>
      </w:r>
    </w:p>
    <w:p>
      <w:r>
        <w:t>Die Feststellung der Nichtigkeit der Verfügung der C.___ vom 15. Juni 2023 hätte zur Folge, dass die C.___ die Überprüfung und Festlegung der Aus- und Weiterbildungsverpflichtung erneut vorzunehmen hätte, obschon diese von der Beschwerdeführerin gar nicht bemängelt wird. Aufgrund der Aufhebung der Ziffern 4.8 und 4.9 der Verfügung der C.___ vom 15. Juni 2023 durch die Vorinstanz hat die Festsetzung der Ersatzabgabe durch das Gesundheitsamt, Departement des Innern, zu erfolgen. Bereits im Rahmen des vorinstanzlichen Verfahrens machte die Beschwerdeführerin schwerwiegende Mängel der Verfügung geltend, welche ihrer Ansicht nach die Nichtigkeit der Verfügung zur Folge haben sollten. Vor der Vorinstanz wurde u.a. geltend gemacht, dass es der Verfügung an einer rechtsgültigen Unterschrift mangle, es ihr an einer Eröffnungsformel fehle und die Datierung der Verfügung offensichtlich falsch sei. Im Beschwerdeverfahren macht die Beschwerdeführerin erneut Eröffnungsmängel geltend. Ausserdem werden wiederum der Erlass der Verfügung durch eine unzuständige Behörde sowie die Höhe der Ersatzabgabe gerügt. Auf die beiden letztgenannten Rügen ist nicht weiter einzugehen, da sich diese durch die Aufhebung der Dispositiv-Ziffern 4.8 und 4.9 der Verfügung der C.___ vom 15. Juni 2023 erübrigen. Aus der Beschwerde geht kein Interesse der Beschwerdeführerin an der Feststellung der Nichtigkeit der Verfügung der C.___ vom 15. Juni 2023 hervor. Die fehlende Verfügungskompetenz der C.___ sowie die Höhe der verfügten Ersatzabgabe wurden durch den vorinstanzlichen Entscheid bereits korrigiert. Zwar werden im vorliegenden Verfahren erneut Eröffnungsfehler gerügt, welches Interesse die Beschwerdeführerin hingegen an deren Feststellung und der beantragten Nichtigkeitsfolge hat, geht nicht aus der Beschwerde hervor. Zusammengefasst hat die Beschwerdeführerin kein Interesse an der Feststellung der Nichtigkeit der Verfügung der C.___ vom 15. Juni 2023, weshalb auf die Beschwerde nicht einzutreten ist. Am Nichteintretensentscheid vermag auch die teilweise Kostenauferlegung durch die Vorinstanz nichts zu ändern. Denn nach bundesgerichtlicher Rechtsprechung kann, wer in der Sache selber nicht legitimiert ist, Beschwerde zu führen, grundsätzlich auch den damit verbundenen Kostenentscheid nicht beanstanden. Durch die Pflicht zur Tragung von Verfahrens- und Parteikosten in einem einzelnen Rechtsmittelverfahren wird das Gemeinwesen regelmässig nicht derart belastet, dass ihm  trotz fehlender Legitimation bzw. unabhängig von der Legitimation in der Sache selber  ein schutzwürdiges Interesse an der Anfechtung der Kostenregelung einzuräumen wäre (BGE 134 II 45 E. 2.2.2 S. 47 f.). Ohnehin stellte die Beschwerdeführerin keinen expliziten Antrag bzgl. einer Neuverteilung der Kosten vor der Vorinstanz. Erst in der Beschwerdebegründung vom 30. September 2024 wurde erstmals (im Rahmen der Begründung) beantragt, die Verfahrenskosten des vorinstanzlichen Verfahrens neu zu verteilen, womit dieser Antrag nach Ablauf der Beschwerdefrist und damit verspätet erfolgte. Selbst wenn jedoch auf die Beschwerde einzutreten wäre, ist sie aus nachstehenden Gründen abzuweisen:</w:t>
      </w:r>
    </w:p>
    <w:p>
      <w:r>
        <w:rPr>
          <w:b/>
        </w:rPr>
        <w:t>E. 3</w:t>
      </w:r>
    </w:p>
    <w:p>
      <w:r>
        <w:t>Gegen die Verfügung der C.___ vom 15. Juni 2023 erhob die Bürgergemeinde A.___ am 26. Juni 2023 Beschwerde beim Departement des Innern und beantragte die Feststellung deren Nichtigkeit, eventualiter die Aufhebung.</w:t>
      </w:r>
    </w:p>
    <w:p>
      <w:r>
        <w:rPr>
          <w:b/>
        </w:rPr>
        <w:t>E. 3.1</w:t>
      </w:r>
    </w:p>
    <w:p>
      <w:r>
        <w:t>Wenn eine ordentliche Rechtsmittelinstanz einen bei ihr angefochtenen Entscheid in der Sache überprüft hat, wird dieser in der Folge prozessual durch den Rechtsmittelentscheid ersetzt (Devolutiveffekt); nur noch der Rechtsmittelentscheid ist bei der nächsten Rechtsmittelinstanz anfechtbar, sofern das Gesetz überhaupt weitere Rechtsmittel vorsieht. Wie das Bundesgericht kürzlich erwogen hat, muss die Nichtigkeit des ursprünglichen Entscheids nicht in jedem Fall auf die nachfolgenden Rechtsmittelentscheide durchschlagen. Keine Nichtigkeit wäre unter Umständen anzunehmen, wenn die Rechtsmittelinstanz ihrerseits  anders als die erstinstanzliche Behörde  für die Beurteilung der Sache zuständig ist und ihr Entscheid daher den nichtigen Entscheid allenfalls ersetzen kann (Urteil des Bundesgerichts 9C_673/2023 E. 5.3.1, mit weiteren Hinweisen).</w:t>
      </w:r>
    </w:p>
    <w:p>
      <w:r>
        <w:rPr>
          <w:b/>
        </w:rPr>
        <w:t>E. 3.2</w:t>
      </w:r>
    </w:p>
    <w:p>
      <w:r>
        <w:t>Selbst wenn also die Verfügung der C.___ vom 15. Juni 2023 nichtig sein sollte, was vorliegend offen bleiben kann, wäre diese durch die Verfügung der Vorinstanz vom 16. Juli 2024 ersetzt worden, da diese unbestrittenermassen in der Angelegenheit zuständig war.</w:t>
      </w:r>
    </w:p>
    <w:p>
      <w:r>
        <w:rPr>
          <w:b/>
        </w:rPr>
        <w:t>E. 4</w:t>
      </w:r>
    </w:p>
    <w:p>
      <w:r>
        <w:t>Mit Beschwerdeentscheid vom 16. Juli 2024 entschied das Departement des Innern Folgendes:</w:t>
      </w:r>
    </w:p>
    <w:p>
      <w:r>
        <w:rPr>
          <w:b/>
        </w:rPr>
        <w:t>E. 4.1</w:t>
      </w:r>
    </w:p>
    <w:p>
      <w:r>
        <w:t>Die Beschwerdeführerin ersucht um Parteibefragung. Eine Parteibefragung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anwaltlich vertretene Beschwerdeführerin hat ihren Standpunkt in der Beschwerdeschrift ausführlich aufgezeigt. Es ist nicht ersichtlich, welche zusätzlichen relevanten Erkenntnisse das Gericht durch eine Parteibefragung anlässlich einer Verhandlung gewinnen könnte. Der Antrag ist deshalb abzuweisen.</w:t>
      </w:r>
    </w:p>
    <w:p>
      <w:r>
        <w:rPr>
          <w:b/>
        </w:rPr>
        <w:t>E. 4.2</w:t>
      </w:r>
    </w:p>
    <w:p>
      <w:r>
        <w:t>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S. 431). Die Beschwerdeführerin hat keinen Antrag auf Durchführung einer öffentlichen Verhandlung gestellt, sondern lediglich um Parteibefragung im Sinne von Beweisanträgen ersucht. Art. 6 Ziff. 1 derKonvention zum Schutze der Menschenrechte und Grundfreiheiten (EMRK,SR 0.101)hat im vorliegenden Zusammenhang daher keine über Art. 29 Abs. 2 derBundesverfassung der Schweizerischen Eidgenossenschaft (BV, SR 101)hinausgehende Bedeutung (BGE 134 I 140 E. 5.2 S. 147 f.).</w:t>
      </w:r>
    </w:p>
    <w:p>
      <w:r>
        <w:t>5. Die Beschwerde erweist sich als unbegründet und ist abzuweisen, soweit darauf einzutreten ist. Bei diesem Ausgang des Verfahrens hat die Beschwerdeführerin die Kosten des Verfahrens vor Verwaltungsgericht zu bezahlen, die einschliesslich der Entscheidgebühr auf CHF 600.00 festzusetzen sind. Ein Anspruch auf Parteientschädigung besteht bei diesem Verfahrensausgang nicht.</w:t>
      </w:r>
    </w:p>
    <w:p>
      <w:r>
        <w:t>Demnach wirderkannt:</w:t>
      </w:r>
    </w:p>
    <w:p>
      <w:r>
        <w:t>1.Die Beschwerde wird abgewiesen, soweit darauf einzutreten ist.</w:t>
      </w:r>
    </w:p>
    <w:p>
      <w:r>
        <w:t>2.Die Kosten des Verfahrens vor Verwaltungsgericht von CHF 600.00 werden der Bürgergemeinde A.___, Alters- und Pflegeheim B.___, auferlegt.</w:t>
      </w:r>
    </w:p>
    <w:p>
      <w:r>
        <w:t>3.Es wird keine Parteientschädigung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5</w:t>
      </w:r>
    </w:p>
    <w:p>
      <w:r>
        <w:t>Am 29. Juli 2024 erhob die Bürgergemeinde A.___ (nachfolgend: Beschwerdeführerin) Beschwerde gegen den Entscheid des Departements des Innern (nachfolgend: Vorinstanz) und stellte folgende Rechtsbegehren:</w:t>
      </w:r>
    </w:p>
    <w:p>
      <w:r>
        <w:rPr>
          <w:b/>
        </w:rPr>
        <w:t>E. 6</w:t>
      </w:r>
    </w:p>
    <w:p>
      <w:r>
        <w:t>Mit Eingabe vom 30. September 2024 ergänzte die Beschwerdeführerin ihre Begründung.</w:t>
      </w:r>
    </w:p>
    <w:p>
      <w:r>
        <w:rPr>
          <w:b/>
        </w:rPr>
        <w:t>E. 7</w:t>
      </w:r>
    </w:p>
    <w:p>
      <w:r>
        <w:t>Am 30. Oktober 2024 beantragte die C.___ sinngemäss die Abweisung der Beschwerde.</w:t>
      </w:r>
    </w:p>
    <w:p>
      <w:r>
        <w:rPr>
          <w:b/>
        </w:rPr>
        <w:t>E. 8</w:t>
      </w:r>
    </w:p>
    <w:p>
      <w:r>
        <w:t>Mit Eingabe vom 15. November 2024 beantragte die Vorinstanz die Abweisung der Beschwerde, soweit darauf einzutreten sei. Unter Kostenfolge zulasten der Beschwerdeführerin.</w:t>
      </w:r>
    </w:p>
    <w:p>
      <w:r>
        <w:rPr>
          <w:b/>
        </w:rPr>
        <w:t>E. 9</w:t>
      </w:r>
    </w:p>
    <w:p>
      <w:r>
        <w:t>Am 19. Dezember 2024 resp. 7. Januar 2025 reichten die Beschwerdeführerin und die Vorinstanz weitere Stellungnahmen ein.</w:t>
      </w:r>
    </w:p>
    <w:p>
      <w:r>
        <w:rPr>
          <w:b/>
        </w:rPr>
        <w:t>E. 10</w:t>
      </w:r>
    </w:p>
    <w:p>
      <w:r>
        <w:t>Für die Parteistandpunkte und die Erwägungen der Vorinstanz wird grundsätzlich auf die Akten verwiesen. Soweit erforderlich, ist nachfolgend darauf einzugehen. Von der Einholung weiterer Akten kann angesichts der klaren Sachlage abgesehen werden.</w:t>
      </w:r>
    </w:p>
    <w:p>
      <w:r>
        <w:t>II.</w:t>
      </w:r>
    </w:p>
    <w:p>
      <w:r>
        <w:t>1. Die Beschwerde ist frist- und formgerecht erhoben worden. Sie ist zulässiges Rechtsmittel und das Verwaltungsgericht zur Beurteilung zuständig (§ 159 Abs. 3 des Sozialgesetzes [SG, BGS 831.1], § 49 des Gesetzes über die Gerichtsorganisation [GO, BGS 125.12]). Die Bürgergemeinde A.___ ist von der vorinstanzlichen Verfügung besonders berührt. Ob sie hingegen ein schutzwürdiges Interesse an deren Aufhebung oder Änderung hat und damit zur Beschwerde legitimiert wäre, ist nachfolgend zu 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