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VWBES.2024.23 vom 25. Juli 2023</w:t>
      </w:r>
    </w:p>
    <w:p>
      <w:r>
        <w:t>SO Obergericht, 2023-07-25, DE</w:t>
      </w:r>
    </w:p>
    <w:p>
      <w:r>
        <w:rPr>
          <w:b/>
        </w:rPr>
        <w:t xml:space="preserve">Quelle: </w:t>
      </w:r>
      <w:r>
        <w:t>https://mcp.opencaselaw.ch/entscheid/so_gerichte_VWBES.2024.23</w:t>
      </w:r>
    </w:p>
    <w:p>
      <w:r>
        <w:t>FR: SO_GERICHTE VWBES.2024.23 du 25 juillet 2023</w:t>
      </w:r>
    </w:p>
    <w:p>
      <w:r>
        <w:t>IT: SO_GERICHTE VWBES.2024.23 del 25 luglio 2023</w:t>
      </w:r>
    </w:p>
    <w:p>
      <w:pPr>
        <w:pStyle w:val="Heading2"/>
      </w:pPr>
      <w:r>
        <w:t>Erwägungen</w:t>
      </w:r>
    </w:p>
    <w:p>
      <w:r>
        <w:rPr>
          <w:b/>
        </w:rPr>
        <w:t>E. 5</w:t>
      </w:r>
    </w:p>
    <w:p>
      <w:r>
        <w:t>Was die Kosten des Verfahrens vor der Rechtsmittelinstanz anbelangt, dringt die Beschwerdeführerin mit ihrer Beschwerde  ihr seien keine Kosten aufzuerlegen  durch. Auf das Feststellungsbegehren kann mangels Rechtschutzinteresse nicht eingetreten werden. Es werden der Beschwerdeführerin im Rechtsmittelverfahren keine Kosten auferlegt. Eine Umtriebsentschädigung hat die Beschwerdeführerin weder nachvollziehbar begründet noch ausgewiesen, weshalb ihr auch keine zugesprochen wird.</w:t>
      </w:r>
    </w:p>
    <w:p>
      <w:r>
        <w:t>Demnach wirderkannt:</w:t>
      </w:r>
    </w:p>
    <w:p>
      <w:r>
        <w:t>1.Die Beschwerde wird im Sinne der Erwägungen teilweise gutgeheissen, soweit darauf eingetreten wird.</w:t>
      </w:r>
    </w:p>
    <w:p>
      <w:r>
        <w:t>2.A.___ sind die vom Bau- und Justizdepartement mit Entscheid vom 22. Dezember 2023 auferlegten Kosten von CHF 1'200.00 zurückzuerstatten.</w:t>
      </w:r>
    </w:p>
    <w:p>
      <w:r>
        <w:t>3.Die Kosten des Verfahrens gehen zu Lasten des Kantons Solothurn.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