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VWBES.2023.147 vom 19. Dezember 2022</w:t>
      </w:r>
    </w:p>
    <w:p>
      <w:r>
        <w:t>SO Obergericht, 2022-12-19, DE</w:t>
      </w:r>
    </w:p>
    <w:p>
      <w:r>
        <w:rPr>
          <w:b/>
        </w:rPr>
        <w:t xml:space="preserve">Quelle: </w:t>
      </w:r>
      <w:r>
        <w:t>https://mcp.opencaselaw.ch/entscheid/so_gerichte_VWBES.2023.147</w:t>
      </w:r>
    </w:p>
    <w:p>
      <w:r>
        <w:t>FR: SO_GERICHTE VWBES.2023.147 du 19 décembre 2022</w:t>
      </w:r>
    </w:p>
    <w:p>
      <w:r>
        <w:t>IT: SO_GERICHTE VWBES.2023.147 del 19 dicembre 2022</w:t>
      </w:r>
    </w:p>
    <w:p>
      <w:pPr>
        <w:pStyle w:val="Heading2"/>
      </w:pPr>
      <w:r>
        <w:t>Erwägungen</w:t>
      </w:r>
    </w:p>
    <w:p>
      <w:r>
        <w:rPr>
          <w:b/>
        </w:rPr>
        <w:t>E. 5</w:t>
      </w:r>
    </w:p>
    <w:p>
      <w:r>
        <w:t>Die Beschwerde erweist sich als unbegründet und ist abzuweisen. Bei diesem Ausgang des Verfahrens hat die Beschwerdeführerin die Kosten des Verfahrens vor Verwaltungsgericht zu bezahlen, welche einschliesslich der Entscheidgebühr auf CHF 200.00 festzusetzen sind.</w:t>
      </w:r>
    </w:p>
    <w:p>
      <w:r>
        <w:t>Demnach wirderkannt:</w:t>
      </w:r>
    </w:p>
    <w:p>
      <w:r>
        <w:t>1.Die Beschwerde wird abgewiesen.</w:t>
      </w:r>
    </w:p>
    <w:p>
      <w:r>
        <w:t>2.A.___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t>Auf eine gegen das vorliegende Urteil erhobene Beschwerde trat das Bundesgericht mit Urteil 9C_679/2023 vom 23. November 2023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