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VWBES.2023.107 vom 21. März 2023</w:t>
      </w:r>
    </w:p>
    <w:p>
      <w:r>
        <w:t>SO Obergericht, 2023-03-21, DE</w:t>
      </w:r>
    </w:p>
    <w:p>
      <w:r>
        <w:rPr>
          <w:b/>
        </w:rPr>
        <w:t xml:space="preserve">Quelle: </w:t>
      </w:r>
      <w:r>
        <w:t>https://mcp.opencaselaw.ch/entscheid/so_gerichte_VWBES.2023.107</w:t>
      </w:r>
    </w:p>
    <w:p>
      <w:r>
        <w:t>FR: SO_GERICHTE VWBES.2023.107 du 21 mars 2023</w:t>
      </w:r>
    </w:p>
    <w:p>
      <w:r>
        <w:t>IT: SO_GERICHTE VWBES.2023.107 del 21 marzo 2023</w:t>
      </w:r>
    </w:p>
    <w:p>
      <w:pPr>
        <w:pStyle w:val="Heading2"/>
      </w:pPr>
      <w:r>
        <w:t>Erwägungen</w:t>
      </w:r>
    </w:p>
    <w:p>
      <w:r>
        <w:rPr>
          <w:b/>
        </w:rPr>
        <w:t>E. 1</w:t>
      </w:r>
    </w:p>
    <w:p>
      <w:r>
        <w:t>Am 22. September 2022 kollidierte A.___ (nachfolgend: Beschwerdeführer) um 7:15 Uhr bei der Einfahrt im Kreisverkehrsplatz Widistrasse/Luterbach­strasse/Nord-Südstrasse in Zuchwil mit einem Fahrradfahrer. Letzterer stürzte durch die Kollision zu Boden und verletzte sich.</w:t>
      </w:r>
    </w:p>
    <w:p>
      <w:r>
        <w:rPr>
          <w:b/>
        </w:rPr>
        <w:t>E. 2</w:t>
      </w:r>
    </w:p>
    <w:p>
      <w:r>
        <w:t>Mit Strafbefehl vom 11. Januar 2023 der Staatsanwaltschaft des Kantons Solothurn wurde der Beschwerdeführer wegen grober Verletzung der Verkehrsregeln (Art. 90 Abs. 2 Strassenverkehrsgesetz [SVG, SR 741.01]) durch Mangel an Aufmerksamkeit (Art. 31 Abs. 1 SVG, Art. 3 Abs. 1 Verkehrsregelverordnung [VRV, SR 741.11]) und Missachtens des Vortrittsrechts im Kreisverkehr (Art. 41b Abs. 1 VRV) zu einer Geldstrafe von 20 Tagessätzen zu je CHF 90.00, bedingt aufgeschoben bei einer Probezeit von zwei Jahren sowie einer Busse von CHF 450.00 verurteilt. Der Strafbefehl erwuchs unangefochten in Rechtskraft.</w:t>
      </w:r>
    </w:p>
    <w:p>
      <w:r>
        <w:rPr>
          <w:b/>
        </w:rPr>
        <w:t>E. 3</w:t>
      </w:r>
    </w:p>
    <w:p>
      <w:r>
        <w:t>Nach Gewährung des rechtlichen Gehörs entzog die Motorfahrzeugkontrolle des Kantons Solothurn (MFK) dem Beschwerdeführer mit Verfügung vom 21. März 2023 namens des Bau- und Justizdepartements (BJD) den Führerausweis infolge einer mittelschweren Widerhandlung gegen die Strassenverkehrsvorschriften für die Dauer von einem Monat.</w:t>
      </w:r>
    </w:p>
    <w:p>
      <w:r>
        <w:rPr>
          <w:b/>
        </w:rPr>
        <w:t>E. 4</w:t>
      </w:r>
    </w:p>
    <w:p>
      <w:r>
        <w:t>Mit Schreiben vom 24. März 2023 wandte sich der Beschwerdeführer an das Verwaltungsgericht und teilte mit, dass er nochmals Anzeige gegen den Velofahrer erstattet habe. Er sei bereits im Kreisel gewesen, als der Velofahrer von links herkommend, neben seinem Auto vorbei- und in einen Pfosten gefahren sei. Dadurch sei das Hinterrad des Fahrrades quer in die rechte Seite seines Autos geprallt. Die Polizisten hätten sein Auto gar nicht angeschaut. Alsdann teilte er mit Eingabe vom 24. April 2023 mit, dass er zu Unrecht verurteilt worden sei. Der Velofahrer habe ihm die Vorfahrt genommen.</w:t>
      </w:r>
    </w:p>
    <w:p>
      <w:r>
        <w:rPr>
          <w:b/>
        </w:rPr>
        <w:t>E. 5</w:t>
      </w:r>
    </w:p>
    <w:p>
      <w:r>
        <w:t>Die für den Führerausweisentzug zuständige Verwaltungsbehörde darf bei einem Warnungsentzug grundsätzlich nicht von den Tatsachenfeststellungen des rechtskräftigen Strafentscheids abweichen. Eine Abweichung ist nur zulässig, wenn die Behörde ihrem Entscheid Tatsachen zugrunde legt, die dem Strafrichter unbekannt waren, wenn sie zusätzliche Beweise erhebt oder wenn das Strafgericht bei der Rechtsanwendung auf den Sachverhalt nicht alle Rechtsfragen abgeklärt, namentlich die Verletzung bestimmter Verkehrsregeln übersehen hat. Sie ist unter bestimmten Voraussetzungen auch an einen Strafentscheid gebunden, der im Strafbefehlsverfahren ergangen ist, selbst wenn er ausschliesslich auf einem Polizeirapport beruht. Dies gilt namentlich, wenn der Beschuldigte wusste oder angesichts der Schwere der ihm vorgeworfenen Delikte davon ausgehen musste, dass neben dem Strafverfahren ein Administrativverfahren eröffnet wird. Entsprechend dem Grundsatz von Treu und Glauben muss der Betroffene allfällige Verteidigungsrechte und Beweisanträge im Strafverfahren vorbringen und dort gegebenenfalls alle Rechtsmittel ausschöpfen (vgl. BGE 123 II 97, E. 3c/aa; BGE 121 II 214, E. 3a; Urteil des Bundesgerichts 1C_539/2016 vom 20. Februar 2017, E. 2.2). Nicht gebunden ist die Verwaltungsbehörde an die rechtliche Beurteilung des Strafgerichts, namentlich des Verschuldens.</w:t>
      </w:r>
    </w:p>
    <w:p>
      <w:r>
        <w:rPr>
          <w:b/>
        </w:rPr>
        <w:t>E. 6</w:t>
      </w:r>
    </w:p>
    <w:p>
      <w:r>
        <w:t>Nach Art. 16 Abs. 2 SVG wird nach Widerhandlungen gegen die Strassenverkehrsvorschriften, bei denen das Verfahren nach dem Ordnungsbussengesetz ausgeschlossen ist, der Führerausweis entzogen oder eine Verwarnung ausgesprochen.</w:t>
      </w:r>
    </w:p>
    <w:p>
      <w:r>
        <w:t>7.1 Das Gesetz unterscheidet zwischen der leichten, mittelschweren und schweren Widerhandlung (Art. 16a-c SVG).</w:t>
      </w:r>
    </w:p>
    <w:p>
      <w:r>
        <w:t>7.2 Gemäss Art. 16a Abs. 1 lit. a SVG begeht eine leichte Widerhandlung, wer durch Verletzung von Verkehrsregeln eine geringe Gefahr für die Sicherheit anderer hervorruft und ihn dabei nur ein leichtes Verschulden trifft.</w:t>
      </w:r>
    </w:p>
    <w:p>
      <w:r>
        <w:t>7.3 Eine mittelschwere Widerhandlung begeht, wer durch Verletzung von Verkehrsregeln eine Gefahr für die Sicherheit anderer hervorruft oder in Kauf nimmt (Art. 16b Abs. 1 lit. a SVG). 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 oder umgekehrt die Gefährdung hoch und das Verschulden gering, liegt eine mittelschwere Widerhandlung vor (vgl. Urteil des Bundesgerichts 1C_421/2019 vom 20. Dezember 2019 E. 2.1). Nach einer mittelschweren Widerhandlung wird der Lernfahr- oder Führerausweis für mindestens einen Monat entzogen (Art. 16b Abs. 2 lit. a). Die Mindestdauer darf nicht unterschritten werden (vgl. BGE 132 II 234 E. 2.3).</w:t>
      </w:r>
    </w:p>
    <w:p>
      <w:r>
        <w:t>7.4 Nach Art. 16c Abs. 1 lit. a SVG begeht eine schwere Widerhandlung, wer durch grobe Verletzung von Verkehrsregeln eine ernstliche Gefahr für die Sicherheit anderer hervorruft oder in Kauf nimmt. Die Annahme einer schweren Widerhandlung setzt kumulativ eine qualifizierte objektive Gefährdung und ein qualifiziertes Verschulden voraus. In objektiver Hinsicht wird verlangt, dass die Verkehrssicherheit ernsthaft gefährdet wird. Dabei genügt nach der Rechtsprechung eine erhöhte abstrakte Gefährdung, die vorliegt, wenn in Anbetracht der jeweiligen Verhältnisse des Einzelfalls der Eintritt einer konkreten Gefährdung oder gar einer Verletzung naheliegt. Subjektiv erfordert der Tatbestand der groben Verkehrsregelverletzung ein rücksichtsloses oder sonst schwerwiegend verkehrswidriges Verhalten, d.h. ein schweres Verschulden, bei fahrlässiger Begehung grobe Fahrlässigkeit (vgl. Urteil des Bundesgerichts 1C_464/2020 vom 16. März 2021 E. 3.2).</w:t>
      </w:r>
    </w:p>
    <w:p>
      <w:r>
        <w:t>7.5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 nach sich (vgl. Art. 16 Abs. 2 SVG). Von einem solchen Fall ist jedoch nur dann auszugehen, wenn keine anderen Verkehrsteilnehmer vom Fehlverhalten hätten betroffen werden können. Führte dieses hingegen zu einer Verletzung eines Rechtsguts oder einer konkreten bzw. einer erhöhten abstrakten Gefährdung der körperlichen Integrität, hat dies eine Administrativmassnahme zur Folge (vgl. René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(vgl. Jürg Boll, Grobe Verkehrsregelverletzung, Davos 1999, S. 12).</w:t>
      </w:r>
    </w:p>
    <w:p>
      <w:r>
        <w:t>8.1 Der Beschwerdeführer bestreitet den Sachverhalt des rechtskräftigen Strafbefehls. Er meint, der Fahrradfahrer habe ihm die Vorfahrt genommen, er wiederum habe sich korrekt verhalten. Sein Vorbringen hätte der Beschwerdeführer allerdings gemäss der vorgenannten zitierten Rechtsprechung im Strafverfahren geltend machen müssen. Angesichts der Polizeiakten, den Schilderungen einer Auskunftsperson sowie des Unfallopfers ist erstellt, dass der Beschwerdeführer das Vortrittsrecht beim Einfahren in den Kreisel missachtet und dadurch einen Verkehrsunfall verursacht hat. Selbst der Beschwerdeführer gibt zu, dass der Fahrradfahrer bereits von links in den Kreisel eingefahren ist und er somit das Vortrittsrecht des Fahrradfahrers missachtet hat. Der Kreisverkehrsplatz ist gemäss den dem Polizeirapport beiliegenden Fotos deutlich signalisiert. Die Verkehrssituation ist übersichtlich und die Skizze im Polizeirapport vom 3. Oktober 2022 dokumentiert, dass sich der von links kommende Fahrradfahrer bereits im Kreisel befand, als der Beschwerdeführer mit dem Fahrradfahrer kollidierte. Diese Annahmen stützen auch die von der Kantonspolizei Solothurn am Personenwagen festgestellten Kratzer an der Stossstange, wie sie in der Fotodokumentation enthalten sind. Das Vorbringen des Beschwerdeführers, die Polizei habe sein Auto nach dem Vorfall nicht angeschaut, wird durch die erwähnten Fotos somit entkräftet. Der Beschwerdeführer hat mit seinem Verhalten im Kreisverkehr, indem er dem korrekt fahrenden Fahrradfahrer den Vortritt genommen hat, eine wesentliche und grundlegende Verkehrsregel verletzt und somit eine konkrete Verkehrsgefährdung realisiert. Infolge der Äusserungen des Beschwerdeführers muss auch angenommen werden, dass er mit den Vortrittsrechtsverhältnissen im Kreisverkehr nicht vertraut ist. Dass es zu keinen weiteren (schwerwiegenderen) Unfallfolgen kam, ist wohl glücklichen Umständen zu verdanken. Der Fahrradfahrer hat sich gemäss Polizeibericht leicht verletzt. Die vom Beschwerdeführer verursachte Gefahr  wie die MFK richtig feststellte  kann nicht mehr als leicht eingestuft werden. Die Annahme einer leichten Widerhandlung nach Art. 16a SVG ist damit ausgeschlossen, was in ähnlich gelagerten Fällen auch das Bundesgericht stützt (vgl. Urteil des Bundesgerichts 1C_574/2013 E. 2.4). Eine schwere Widerhandlung liegt hingegen in casu nicht vor, zumal keine qualifizierenden Elemente von Art. 16c Abs. 1 lit. a SVG gegeben sind. Dementsprechend ergibt sich, dass die MFK die Verkehrsregelverletzung des Beschwerdeführers zu Recht als mittelschwere Widerhandlung gegen das Strassenverkehrsgesetz nach Art. 16b Abs. 1 lit. a SVG qualifizierte und gestützt auf Art. 16b Abs. 1 lit. a SVG den Führerausweis entzog.</w:t>
      </w:r>
    </w:p>
    <w:p>
      <w:r>
        <w:t>8.2 Im Übrigen hätte sich der Beschwerdeführer im Strafverfahren gegen mögliche Tatsachenfeststellungen wehren müssen (vgl. E. II 5.), zumal er mit Schreiben der MFK vom 19. Oktober 2022 ausdrücklich darauf aufmerksam gemacht wurde. Dies hat er nicht gemacht und den Strafbefehl akzeptiert, was er sich nun entgegenhalten lassen muss.</w:t>
      </w:r>
    </w:p>
    <w:p>
      <w:r>
        <w:t>8.3 Die von der MFK verfügte Entzugsdauer von einem Monat entspricht der gesetz­lichen Mindestentzugsdauer, die nach der bundesgerichtlichen Rechtsprechung selbst bei einer beruflichen oder persönlichen Angewiesenheit des Betroffenen auf den Führerausweis und bei einem ungetrübten automobilistischen Leumund nicht unter­schritten werden darf (vgl. BGE 132 II 234 E. 2.3). Solche macht der Beschwerdeführer auch nicht geltend. Dementsprechend ist die angefochtene Verfügung auch hinsichtlich der Entzugsdauer von einem Monat zu bestätigen.</w:t>
      </w:r>
    </w:p>
    <w:p>
      <w:r>
        <w:t>Die Beschwerde ist demnach abzuweisen, soweit überhaupt darauf einzutreten ist. Bei diesemAusgang hat der Beschwerdeführer die Kosten des Verfahrens vor Verwaltungsgericht zu bezahlen, die einschliesslich der Entscheidgebühr auf CHF 800.00 festzusetzen sind. Sie werden mit dem geleisteten Kostenvorschuss in gleicher Höhe verrechnet.</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