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VWBES.2022.134 vom 16. Januar 2023</w:t>
      </w:r>
    </w:p>
    <w:p>
      <w:r>
        <w:t>SO Obergericht, 2023-01-16, DE</w:t>
      </w:r>
    </w:p>
    <w:p>
      <w:r>
        <w:rPr>
          <w:b/>
        </w:rPr>
        <w:t xml:space="preserve">Quelle: </w:t>
      </w:r>
      <w:r>
        <w:t>https://mcp.opencaselaw.ch/entscheid/so_gerichte_VWBES.2022.134_d20230116</w:t>
      </w:r>
    </w:p>
    <w:p>
      <w:r>
        <w:t>FR: SO_GERICHTE VWBES.2022.134 du 16 janvier 2023</w:t>
      </w:r>
    </w:p>
    <w:p>
      <w:r>
        <w:t>IT: SO_GERICHTE VWBES.2022.134 del 16 gennaio 2023</w:t>
      </w:r>
    </w:p>
    <w:p>
      <w:pPr>
        <w:pStyle w:val="Heading2"/>
      </w:pPr>
      <w:r>
        <w:t>Regeste</w:t>
      </w:r>
    </w:p>
    <w:p>
      <w:r>
        <w:t>Führerausweisentzug</w:t>
      </w:r>
    </w:p>
    <w:p>
      <w:pPr>
        <w:pStyle w:val="Heading2"/>
      </w:pPr>
      <w:r>
        <w:t>Erwägungen</w:t>
      </w:r>
    </w:p>
    <w:p>
      <w:r>
        <w:rPr>
          <w:b/>
        </w:rPr>
        <w:t>E. 1</w:t>
      </w:r>
    </w:p>
    <w:p>
      <w:r>
        <w:t>Am 27. November 2021 fuhr A.___ (nachfolgend Beschwerdeführer) mit einem Personenwagen in Bern auf der Bremgartenstrasse in Richtung Verzweigung Forsthaus und beabsichtigte, weiter geradeaus zu fahren. An der Verzweigung hielt er an, übersah aber, dass die Lichtsignalanlage für seine Spur weiterhin auf Rot stand, während die Lichtsignalanlage für die Spur rechts neben ihm auf Grün wechselte. In der Folge fuhr er los und verursachte eine Kollision mit einem vortrittsberechtigten Personenwagen. Hierfür wurde er mit Strafbefehl vom 8. Februar 2022 wegen Widerhandlungen gegen das Strassenverkehrsgesetz durch einfache Verkehrsregelverletzung (Nichtbeachten eines Lichtsignals mit Unfallfolge) zu einer Busse von CHF 250.00 verurteilt.</w:t>
      </w:r>
    </w:p>
    <w:p>
      <w:r>
        <w:rPr>
          <w:b/>
        </w:rPr>
        <w:t>E. 2</w:t>
      </w:r>
    </w:p>
    <w:p>
      <w:r>
        <w:t>Nach Gewährung des rechtlichen Gehörs entzog die Motorfahrzeugkontrolle des Kantons Solothurn (MFK) dem Beschwerdeführer mit Verfügung vom 16. März 2022 namens des Bau- und Justizdepartements (BJD) den Führerausweis infolge schwerer Widerhandlung gegen die Strassenverkehrsvorschriften (Art. 16c Abs. 1 lit. a SVG) für die Dauer von drei Monaten.</w:t>
      </w:r>
    </w:p>
    <w:p>
      <w:r>
        <w:rPr>
          <w:b/>
        </w:rPr>
        <w:t>E. 3</w:t>
      </w:r>
    </w:p>
    <w:p>
      <w:r>
        <w:t>Unter Kostenfolge zu Lasten des Staates.</w:t>
      </w:r>
    </w:p>
    <w:p>
      <w:r>
        <w:rPr>
          <w:b/>
        </w:rPr>
        <w:t>E. 3.1</w:t>
      </w:r>
    </w:p>
    <w:p>
      <w:r>
        <w:t>Die Beschwerdegegnerin bringt im Wesentlichen vor, das Missachten eines Rotlichts stelle eine schwere Widerhandlung einer wichtigen Verkehrsvorschrift dar. Durch die Kollision auf einer grossen Kreuzung mit mehrspurigen Strassen habe der Beschwerdeführer den anderen Fahrzeuglenker konkret gefährdet. Anlässlich der polizeilichen Befragung habe der Beschwerdeführer angegeben, die Örtlichkeiten sehr gut zu kennen. Entsprechend habe er wissen müssen, dass nebst der klaren Signalisation über der Fahrbahn am Fahrbahnrand für die rechtsabbiegenden Fahrzeuge und die geradeausfahrenden Fahrzeuge je ein zusätzliches Lichtsignal angebracht ist. Dennoch habe er sich nicht vergewissert, welches Signal grün zeige. Er habe eine sehr wichtige Verkehrsregel in rücksichtsloser Weise missachtet. Es wäre ein Leichtes gewesen, die Freigabe mittels grünem Lichtsignal für seine Fahrbahn mit einem Blick über der Fahrbahn oder am Fahrbahnrand zu überprüfen. Sein Verschulden wiege damit schwer. Durch seine Fahrweise habe er zumindest unbewusst grobfahrlässig gehandelt. 4.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rPr>
          <w:b/>
        </w:rPr>
        <w:t>E. 3.4</w:t>
      </w:r>
    </w:p>
    <w:p>
      <w:r>
        <w:t>mit Hinweis auf BGE 121 IV 375 E. 1c S. 378; Philippe Weissenberger, Kommentar SVG und OBG, 2. Aufl. 2015, Art. 16b N 16 in fine). Nicht als rücksichtslos wurde demgegenüber eingestuft, dass ein Fahrzeuglenker ein Rotlicht bei übersichtlichen Verkehrsverhältnissen in einer verkehrsarmen Zeit missachtete (BGE 118 IV 285 E. 3b, 4). Vorliegend verwechselte der Beschwerdeführer die Lichtsignale. Er fuhr los, als die Ampel für die Rechtsabbieger auf Grün schaltete und übersah, dass das für ihn massgebende Lichtsignal weiterhin auf Rot stand. Bei der fraglichen Kreuzung handelt es sich um eine unübersichtliche und grosse Kreuzung, welche der erhöhten Aufmerksamkeit eines Motorfahrzeugführers bedarf. Von vier Seiten münden je dreispurige bzw. vierspurige Strassen auf die Kreuzung. Über das Verkehrsauf­kommen ist den vorinstanzlichen Akten nichts zu entnehmen. Erstellt ist jedoch, dass der Beschwerdeführer, an vorderster Stelle stehend, das Rotlichtsignal wahrnahm und pflichtgemäss angehalten und gestanden hat. Mit dem Wechsel der Signalanlage für die andere Spur, welche er aus dem Augenwinkel wahrnahm, begann er seine Fahrt mit geringer Geschwindigkeit fortzusetzen. Es ist ihm vorzuwerfen, dass er sich nicht nochmals über die Signalisation seiner Fahrspur vergewisserte. Wie er selbst ausführt sei er «langsam losgefahren» oder mit «stark reduzierter Geschwindigkeit» unterwegs gewesen (Beschwerdeschrift vom 23. Februar 2022, S. 3). Der Strafbefehl vom 8. Februar 2022 berichtet von «in einem Moment von pflichtwidriger Unvorsichtigkeit». Wie erwähnt ist weder über das Verkehrsaufkommen noch über die gefahrenen Geschwindigkeiten etwas akten­kundig. Zu Gunsten des Beschwerdeführers muss von dem für ihn vorteilhafteren Sachverhalt ausgegangen und somit auf seine Angaben abgestellt werden. Ebenfalls ist zu berücksichtigen, dass die zuständige Staatsan­waltschaft die betreffenden Örtlichkeiten besser als die solothurnischen Behörden kennt und einschätzen kann. Sie ging von einer einfachen Verletzung der Verkehrsregeln aus und bestrafte den Beschwerdeführer in der Tat mit einer äusserst geringen Busse (Strafbefehl vom 8. Februar 2022), was auf ein leichtes Verschulden hinweist. Die vorliegende Angelegenheit ist auch nicht vergleichbar mit Fällen mit denen eine Rotlichtsignalisation, aus welchem Grund auch immer, mit höherer Geschwindigkeit überfahren wird. Vielmehr ist im Einklang mit den Darstellungen im Strafbefehl davon auszugehen, dass der Beschwerdeführer in einem Moment pflichtwidriger Unvorsich­tigkeit den Signalwechsel falsch eingeschätzt hat, um dann mit geringer Geschwindigkeit seine Fahrt fortzusetzen. Von einem rücksichts- oder bedenkenlosen Verhalten kann nicht ausgegangen werden. Ergänzend ist hierbei zu erwähnen, dass es sich um einen Grenzfall handelt und die Beweislage, insbesondere für die Beurteilung der subjektiven Vorwerfbarkeit, äusserst dürftig ist, was sich schliesslich zu Gunsten des Beschwer­deführers auszuwirken hat. Somit präsentiert sich vorliegend das Verschulden zwar nicht mehr als leicht, jedoch auch noch nicht als schwer. Es liegt demnach eine mittelschwere Widerhandlung gegen die Strassenverkehrsvorschriften gemäss Art. 16b Abs. 1 lit. a SVG vor.</w:t>
      </w:r>
    </w:p>
    <w:p>
      <w:r>
        <w:rPr>
          <w:b/>
        </w:rPr>
        <w:t>E. 4</w:t>
      </w:r>
    </w:p>
    <w:p>
      <w:r>
        <w:t>Das Verwaltungsgericht erteilte der Beschwerde mit Verfügung vom 28. März 2022 die aufschiebende Wirkung.</w:t>
      </w:r>
    </w:p>
    <w:p>
      <w:r>
        <w:rPr>
          <w:b/>
        </w:rPr>
        <w:t>E. 4.1</w:t>
      </w:r>
    </w:p>
    <w:p>
      <w:r>
        <w:t>Der Beschwerdeführer bestreitet den Sachverhalt gemäss rechtskräftigem Strafbefehl vom 8. Februar 2022 bzw. die Übernahme desselben durch die Vorinstanz nicht. Es ist demnach davon auszugehen, dass der Beschwerdeführer in Bern an der Verzweigung Forsthaus, nachdem das Lichtsignal für die Fahrspur rechts auf Grün wechselte, jedoch dasjenige für seine Fahrspur weiterhin auf Rot stand, mit geringer Geschwindigkeit losfuhr und dadurch eine Kollision mit einem vortrittsberechtigten Personenwagen verursachte.</w:t>
      </w:r>
    </w:p>
    <w:p>
      <w:r>
        <w:rPr>
          <w:b/>
        </w:rPr>
        <w:t>E. 5</w:t>
      </w:r>
    </w:p>
    <w:p>
      <w:r>
        <w:t>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w:t>
      </w:r>
    </w:p>
    <w:p>
      <w:r>
        <w:rPr>
          <w:b/>
        </w:rPr>
        <w:t>E. 5.1</w:t>
      </w:r>
    </w:p>
    <w:p>
      <w:r>
        <w:t>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Er hat durch seinen Fahrfehler mit Unfall­folgen nicht nur sich selbst an Leib und Leben erheblich und konkret gefährdet, sondern auch Dritte, d.h. den Lenker des vortrittsberechtigten Fahrzeugs und des­sen Beifahrerin. Damit hat er offensichtlich objektiv eine schwere Gefahr für andere Verkehrsteilnehmer und sich selber geschaffen. Trotz der vom Beschwerdeführer geltend gemachten stark reduzier­ten Geschwindigkeit waren beide Unfallfahr­zeuge gemäss dem Zusatzblatt des Unfallaufnahmeprotokolls der Kantonspolizei Bern vom 27. November 2021 nicht mehr fahrbar und mussten abgeschleppt wer­den. Dass der Geschädigte und seine Beifahrerin wie auch der Beschwerdeführer unverletzt blieben und es zu keinen schweren Unfallfolgen kam,ist nur glücklichen Umständen zu verdanken.Die Gefährdung ist dem­nach nicht mehr als gering, sondern als erheblich zu qualifizieren. Der Beschwerdeführer bewirkte mit seinem Verhalten eine erhöhte abstrakte Gefährdung anderer Verkehrs­teilnehmer, da der Eintritt einer konkreten Gefährdung aufgrund seines Verhaltens Nahe lag und er überdies eine offensichtlich wichtige Verkehrsvorschrift verletzt hat. Die objektive Voraussetzung einer schweren Widerhandlung im Sinne von Art. 16c SVG ist erfüllt.</w:t>
      </w:r>
    </w:p>
    <w:p>
      <w:r>
        <w:rPr>
          <w:b/>
        </w:rPr>
        <w:t>E. 5.2</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(BGE 131 IV 133 E. 3.2 mit Hinweisen).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w:t>
      </w:r>
    </w:p>
    <w:p>
      <w:r>
        <w:rPr>
          <w:b/>
        </w:rPr>
        <w:t>E. 5.3</w:t>
      </w:r>
    </w:p>
    <w:p>
      <w:r>
        <w:t>Ein Motorfahrzeugführer hat die Signale und Markierung zu befolgen und mit voller Aufmerksamkeit darauf zu achten, welche Lichtsignale für seine Fahrbahn gelten. Steht das Lichtsignal auf Rot, so bedeutet dies «Halt» (Art. 68 Abs. 1bisSSV) und es ist zwingend anzuhalten. Das Missachten des Rotlichts mit Unfallfolge stellt in aller Regel eine schwere Widerhandlung dar, die zu einem Führerausweisentzug von mindestens drei Monaten führt und wurde bereits in mehreren Entscheiden als solche qualifiziert (Urteile des Bundesgerichts 6B_796/2008; 6P.153/2002). Eine schwere Widerhandlung ist insoweit nur ausnahmsweise aus subjektiven Gründen zu verneinen (vgl. Urteil des Bundesgerichts 6B_480/2014 vom 23. Februar 2015 E. 3.4 mit Hinweis auf BGE 121 IV 375 E. 1c S. 378; Philippe Weissenberger, Kommentar SVG und OBG, 2. Aufl. 2015, Art. 16b N 16 in fine). Nicht als rücksichtslos wurde demgegenüber eingestuft, dass ein Fahrzeuglenker ein Rotlicht bei übersichtlichen Verkehrsverhältnissen in einer verkehrsarmen Zeit missachtete (BGE 118 IV 285 E. 3b, 4).</w:t>
      </w:r>
    </w:p>
    <w:p>
      <w:r>
        <w:t>Vorliegend verwechselte der Beschwerdeführer die Lichtsignale. Er fuhr los, als die Ampel für die Rechtsabbieger auf Grün schaltete und übersah, dass das für ihn massgebende Lichtsignal weiterhin auf Rot stand. Bei der fraglichen Kreuzung handelt es sich um eine unübersichtliche und grosse Kreuzung, welche der erhöhten Aufmerksamkeit eines Motorfahrzeugführers bedarf. Von vier Seiten münden je dreispurige bzw. vierspurige Strassen auf die Kreuzung. Über das Verkehrsauf­kommen ist den vorinstanzlichen Akten nichts zu entnehmen. Erstellt ist jedoch, dass der Beschwerdeführer, an vorderster Stelle stehend, das Rotlichtsignal wahrnahm und pflichtgemäss angehalten und gestanden hat. Mit dem Wechsel der Signalanlage für die andere Spur, welche er aus dem Augenwinkel wahrnahm, begann er seine Fahrt mit geringer Geschwindigkeit fortzusetzen. Es ist ihm vorzuwerfen, dass er sich nicht nochmals über die Signalisation seiner Fahrspur vergewisserte. Wie er selbst ausführt sei er «langsam losgefahren» oder mit «stark reduzierter Geschwindigkeit» unterwegs gewesen (Beschwerdeschrift vom 23. Februar 2022, S. 3). Der Strafbefehl vom 8. Februar 2022 berichtet von «in einem Moment von pflichtwidriger Unvorsichtigkeit». Wie erwähnt ist weder über das Verkehrsaufkommen noch über die gefahrenen Geschwindigkeiten etwas akten­kundig. Zu Gunsten des Beschwerdeführers muss von dem für ihn vorteilhafteren Sachverhalt ausgegangen und somit auf seine Angaben abgestellt werden. Ebenfalls ist zu berücksichtigen, dass die zuständige Staatsan­waltschaft die betreffenden Örtlichkeiten besser als die solothurnischen Behörden kennt und einschätzen kann. Sie ging von einer einfachen Verletzung der Verkehrsregeln aus und bestrafte den Beschwerdeführer in der Tat mit einer äusserst geringen Busse (Strafbefehl vom 8. Februar 2022), was auf ein leichtes Verschulden hinweist. Die vorliegende Angelegenheit ist auch nicht vergleichbar mit Fällen mit denen eine Rotlichtsignalisation, aus welchem Grund auch immer, mit höherer Geschwindigkeit überfahren wird. Vielmehr ist im Einklang mit den Darstellungen im Strafbefehl davon auszugehen, dass der Beschwerdeführer in einem Moment pflichtwidriger Unvorsich­tigkeit den Signalwechsel falsch eingeschätzt hat, um dann mit geringer Geschwindigkeit seine Fahrt fortzusetzen. Von einem rücksichts- oder bedenkenlosen Verhalten kann nicht ausgegangen werden. Ergänzend ist hierbei zu erwähnen, dass es sich um einen Grenzfall handelt und die Beweislage, insbesondere für die Beurteilung der subjektiven Vorwerfbarkeit, äusserst dürftig ist, was sich schliesslich zu Gunsten des Beschwer­deführers auszuwirken hat. Somit präsentiert sich vorliegend das Verschulden zwar nicht mehr als leicht, jedoch auch noch nicht als schwer. Es liegt demnach eine mittelschwere Widerhandlung gegen die Strassenverkehrsvorschriften gemäss Art. 16b Abs. 1 lit. a SVG vor.</w:t>
      </w:r>
    </w:p>
    <w:p>
      <w:r>
        <w:rPr>
          <w:b/>
        </w:rPr>
        <w:t>E. 6</w:t>
      </w:r>
    </w:p>
    <w:p>
      <w:r>
        <w:t>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des Beschwerdeführers ist bis anhin ungetrübt. Folglich ist die Entzugsdauer auf einen Monat festzusetzen.</w:t>
      </w:r>
    </w:p>
    <w:p>
      <w:r>
        <w:rPr>
          <w:b/>
        </w:rPr>
        <w:t>E. 7</w:t>
      </w:r>
    </w:p>
    <w:p>
      <w:r>
        <w:t>Die Beschwerde erweist sich als begründet, weshalb sie gutzuheissen ist. Die Verfügung des BJD vom 5. Mai 2022 ist aufzuheben und dem Beschwerdeführer ist der Führerausweis in Anwendung von Art. 16b Abs. 1 lit. a und Abs. 2 lit. a SVG für die Dauer von einem Monat (ab Einsendung des Führerausweises an die MFK) zu entziehen.</w:t>
      </w:r>
    </w:p>
    <w:p>
      <w:r>
        <w:rPr>
          <w:b/>
        </w:rPr>
        <w:t>E. 8</w:t>
      </w:r>
    </w:p>
    <w:p>
      <w:r>
        <w:t>Bei diesem Ausgang des Verfahrens sind die Gerichtskosten von der Staatskasse zu tragen. Da der Beschwerdeführer durch sein unbestrittenes Fehlverhalten ein Administrativverfahren ausgelöst hat, hat er die Kosten für das erstinstanzliche Verfahren zu tragen.</w:t>
      </w:r>
    </w:p>
    <w:p>
      <w:r>
        <w:rPr>
          <w:b/>
        </w:rPr>
        <w:t>E. 9</w:t>
      </w:r>
    </w:p>
    <w:p>
      <w:r>
        <w:t>Der vor dem Verwaltungsgericht nicht anwaltlich vertretene Beschwerdeführer macht keine (substantiierte) Parteientschädigung geltend, weshalb eine solche nicht zuzusprechen ist.</w:t>
      </w:r>
    </w:p>
    <w:p>
      <w:r>
        <w:t>Demnach wirderkannt:</w:t>
      </w:r>
    </w:p>
    <w:p>
      <w:r>
        <w:t>1.In Gutheissung der Beschwerde wird die Verfügung des BJD vom 16. März 2022 aufgehoben.</w:t>
      </w:r>
    </w:p>
    <w:p>
      <w:r>
        <w:t>2.Der Führerausweis von A.___ wird in Anwendung von Art. 16b Abs. 1 lit. a und Abs. 2 lit. a SVG für die Dauer von einem Monat entzogen.</w:t>
      </w:r>
    </w:p>
    <w:p>
      <w:r>
        <w:t>3.Der Führerausweis ist spätestens innert 30 Tagen nach Rechtskraft des vorliegenden Urteils an die MFK einzusenden.</w:t>
      </w:r>
    </w:p>
    <w:p>
      <w:r>
        <w:t>4.A.___ hat die Kosten für das Administrativverfahren bei der MFK von CHF 358.50 zu tragen.</w:t>
      </w:r>
    </w:p>
    <w:p>
      <w:r>
        <w:t>5.Der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