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VWBES.2021.257 vom 29. Juli 2021</w:t>
      </w:r>
    </w:p>
    <w:p>
      <w:r>
        <w:t>SO Obergericht, 2021-07-29, DE</w:t>
      </w:r>
    </w:p>
    <w:p>
      <w:r>
        <w:rPr>
          <w:b/>
        </w:rPr>
        <w:t xml:space="preserve">Quelle: </w:t>
      </w:r>
      <w:r>
        <w:t>https://mcp.opencaselaw.ch/entscheid/so_gerichte_VWBES.2021.257_d20210729</w:t>
      </w:r>
    </w:p>
    <w:p>
      <w:r>
        <w:t>FR: SO_GERICHTE VWBES.2021.257 du 29 juillet 2021</w:t>
      </w:r>
    </w:p>
    <w:p>
      <w:r>
        <w:t>IT: SO_GERICHTE VWBES.2021.257 del 29 luglio 2021</w:t>
      </w:r>
    </w:p>
    <w:p>
      <w:pPr>
        <w:pStyle w:val="Heading2"/>
      </w:pPr>
      <w:r>
        <w:t>Regeste</w:t>
      </w:r>
    </w:p>
    <w:p>
      <w:r>
        <w:t>Baubewilligung / Neubau Hauptsitz B.___ Solothurn</w:t>
      </w:r>
    </w:p>
    <w:p>
      <w:pPr>
        <w:pStyle w:val="Heading2"/>
      </w:pPr>
      <w:r>
        <w:t>Erwägungen</w:t>
      </w:r>
    </w:p>
    <w:p>
      <w:r>
        <w:rPr>
          <w:b/>
        </w:rPr>
        <w:t>E. 1</w:t>
      </w:r>
    </w:p>
    <w:p>
      <w:r>
        <w:t>Mit Verfügung vom 16. März 2021 erteilte die Baukommission der Stadt Solothurn der B.___ die Baubewilligung für den Neubau ihres Hauptsitzes auf GB Nr. [...] in Solothurn. Auf eine gegen dieses Bauvorhaben erhobene Einsprache von A.___ trat sie mangels Legitimation nicht ein bzw. verwies diese auf den Zivilweg, sofern zivilrechtliche Angelegenheiten betreffend.</w:t>
      </w:r>
    </w:p>
    <w:p>
      <w:r>
        <w:rPr>
          <w:b/>
        </w:rPr>
        <w:t>E. 2</w:t>
      </w:r>
    </w:p>
    <w:p>
      <w:r>
        <w:t>Gegen diese Verfügung erhob A.___ am 24. März 2021 Beschwerde an das Bau- und Justizdepartement (BJD). Dabei beantragte er sinngemäss die Aufhebung der Verfügung der Baukommission und die Abweisung des Baugesuchs. Darüber hinaus verlangte er eine «Rückzonung» der Parzelle Nr. [...] in die Landwirtschaftszone und sinngemäss ein Bauverbot auf dem fraglichen Grundstück. Eventualiter sei der B.___ die Betriebsbewilligung für die Stadt Solothurn zu entziehen.</w:t>
      </w:r>
    </w:p>
    <w:p>
      <w:r>
        <w:rPr>
          <w:b/>
        </w:rPr>
        <w:t>E. 3</w:t>
      </w:r>
    </w:p>
    <w:p>
      <w:r>
        <w:t>Mit Verfügung vom 24. Juni 2021 wies das BJD die Beschwerde von A.___ ab, auferlegte diesem die Verfahrenskosten von CHF 800.00 und verpflichtete ihn zur Bezahlung einer Parteientschädigung an die B.___.</w:t>
      </w:r>
    </w:p>
    <w:p>
      <w:r>
        <w:rPr>
          <w:b/>
        </w:rPr>
        <w:t>E. 4</w:t>
      </w:r>
    </w:p>
    <w:p>
      <w:r>
        <w:t>Gegen diese Verfügung erhob A.___ (nachfolgend Beschwerdeführer genannt) am 3. Juli 2021 Beschwerde an das Verwaltungsgericht.</w:t>
      </w:r>
    </w:p>
    <w:p>
      <w:r>
        <w:rPr>
          <w:b/>
        </w:rPr>
        <w:t>E. 4.1</w:t>
      </w:r>
    </w:p>
    <w:p>
      <w:r>
        <w:t>Gemäss § 8 Abs. 1 Satz 2 der Kantonalen Bauverordnung (KBV, BGS 711.61) kannjedermann, der durch ein Baugesuch besonders berührt ist und an dessen Inhalt ein schutzwürdiges Interesse hat, bei der Baubehörde Einsprache erheben. Das kantonale Recht hat die Legitimation zur Anfechtung von Verfügungen mindestens im gleichen Umfang zu gewährleisten wie für die Beschwerde in öffentlichrechtlichen Angelegenheiten ans Bundesgericht.</w:t>
      </w:r>
    </w:p>
    <w:p>
      <w:r>
        <w:rPr>
          <w:b/>
        </w:rPr>
        <w:t>E. 4.2</w:t>
      </w:r>
    </w:p>
    <w:p>
      <w:r>
        <w:t>Zur Beschwerde in öffentlichrechtlichen Angelegenheiten ist gemäss Art. 89 Abs. 1 des Bundesgerichtsgesetzes (BGG, SR 173.110) berechtigt,wer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(zum Ganzen Urteil des Bundesgerichts 1C_540/2015 E. 2.1 und 2.2 mit Hinweisen und SOG 2013 Nr. 21).</w:t>
      </w:r>
    </w:p>
    <w:p>
      <w:r>
        <w:rPr>
          <w:b/>
        </w:rPr>
        <w:t>E. 4.3</w:t>
      </w:r>
    </w:p>
    <w:p>
      <w:r>
        <w:t>Als wichtiges Kriterium zur Beurteilung der Betroffenheit dient in der Praxis die räumliche Distanz zum Bauvorhaben. Das Beschwerderecht wird in der Regel anerkannt, wenn die Liegenschaft des Nachbarn unmittelbar an das Baugrundstück angrenzt oder allenfalls nur durch einen Verkehrsträger davon getrennt wird oder sich in einem Umkreis von bis zu 100 m befindet. Bei grösseren Entfernungen muss eine Beeinträchtigung aufgrund der konkreten Gegebenheiten glaubhaft gemacht werden. Daneben wird eine besondere Betroffenheit vor allem in den Fällen bejaht, in denen von einer Anlage mit Sicherheit oder grosser Wahrscheinlichkeit Immissionen auf Nachbargrundstücke ausgehen (Urteil des Bundesgerichts 1C_540/2015 E. 2.3 mit Hinweisen; Heinz Aemisegger/Stephan Haag: Praxiskommentar RPG; Baubewilligung, Rechtsschutz und Verfahren, Zürich 2020, Art. 33 RPG N 66 ff.).</w:t>
      </w:r>
    </w:p>
    <w:p>
      <w:r>
        <w:rPr>
          <w:b/>
        </w:rPr>
        <w:t>E. 4.4</w:t>
      </w:r>
    </w:p>
    <w:p>
      <w:r>
        <w:t>Das Grundstück des Beschwerdeführers, GB Solothurn Nr. [...], liegt mit einer Entfernung von rund 650 Metern weit ausserhalb des üblichen Einspracheperimeters. Der Beschwerdeführer bringt keine Gründe vor, die ihn trotz der grossen Entfernung zur Einsprache berechtigen würden. Solche sind denn auch nicht ersichtlich. Der Beschwer­deführer macht weitgehend allgemeine, nicht eigene schutzwürdige Interessen geltend und äussert grundsätzliche Bedenken gegen das Bauvorhaben. Dazu ist er nach § 12 des Verwaltungsrechtspflegegesetzes (VRG, BGS 124.11) nicht legitimiert. Der Bau ist im Übrigen in der Gewerbezone ohne Wohnen soweit ersichtlich zonenkonform, und die Bauausschreibung erfolgte korrekt. Eine Umzonung steht nicht zur Diskussion, und es bestehen auch keine Gründe, der B.___ die Betriebsbewilligung zu entziehen, was ohne­hin nicht im Baubewilligungsverfahren zu erfolgen hätte. Die Baukommission ist deshalb zu Recht nicht auf die Einsprache des Beschwerdeführers eingetreten, was die Vorinstanz korrekt festgestellt hat.</w:t>
      </w:r>
    </w:p>
    <w:p>
      <w:r>
        <w:rPr>
          <w:b/>
        </w:rPr>
        <w:t>E. 5</w:t>
      </w:r>
    </w:p>
    <w:p>
      <w:r>
        <w:t>Soweit der Beschwerdeführer die Zusprechung einer Parteientschädigung an die Gegenpartei beanstandet, ist dieser Vorwurf unbegründet. Nach § 39 VRG können im Beschwerdeverfahren vor dem Departement Parteientschädigungen zugesprochen werden. Die B.___ ist keine Behörde, der in der Regel keine Parteientschädigung zugesprochen oder auferlegt wird. Sie ist eine private Gegenpartei, die bei Obsiegen Anspruch auf eine Parteientschädigung hat (vgl. § 37 Abs. 2 VRG i.V.m. § 77 VRG i.V.m. Art. 106 Abs. 1 der Zivilprozessordnung [ZPO, SR 272]). Die festgelegte Höhe ergibt ebenfalls keinen Anlass zu Bemerkungen.</w:t>
      </w:r>
    </w:p>
    <w:p>
      <w:r>
        <w:rPr>
          <w:b/>
        </w:rPr>
        <w:t>E. 6</w:t>
      </w:r>
    </w:p>
    <w:p>
      <w:r>
        <w:t>Die Beschwerde erweist sich somit als unbegründet, sie ist abzuweisen, soweit darauf einzutreten ist. Der Beschwerdeführer hat die Kosten des Verfahrens vor Verwaltungsgericht zu bezahlen, die inklusive Entscheidgebühr auf CHF 800.00 festzusetzen sind.</w:t>
      </w:r>
    </w:p>
    <w:p>
      <w:r>
        <w:t>Demnach wirderkannt:</w:t>
      </w:r>
    </w:p>
    <w:p>
      <w:r>
        <w:t>1.Die Beschwerde wird abgewiesen, soweit darauf eingetreten wird.</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1C_486/2021 vom 7. Oktober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