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VWBES.2021.199 vom 21. Juni 2021</w:t>
      </w:r>
    </w:p>
    <w:p>
      <w:r>
        <w:t>SO Obergericht, 2021-06-21, DE</w:t>
      </w:r>
    </w:p>
    <w:p>
      <w:r>
        <w:rPr>
          <w:b/>
        </w:rPr>
        <w:t xml:space="preserve">Quelle: </w:t>
      </w:r>
      <w:r>
        <w:t>https://mcp.opencaselaw.ch/entscheid/so_gerichte_VWBES.2021.199_d20210621</w:t>
      </w:r>
    </w:p>
    <w:p>
      <w:r>
        <w:t>FR: SO_GERICHTE VWBES.2021.199 du 21 juin 2021</w:t>
      </w:r>
    </w:p>
    <w:p>
      <w:r>
        <w:t>IT: SO_GERICHTE VWBES.2021.199 del 21 giugno 2021</w:t>
      </w:r>
    </w:p>
    <w:p>
      <w:pPr>
        <w:pStyle w:val="Heading2"/>
      </w:pPr>
      <w:r>
        <w:t>Regeste</w:t>
      </w:r>
    </w:p>
    <w:p>
      <w:r>
        <w:t>Akteneinsicht</w:t>
      </w:r>
    </w:p>
    <w:p>
      <w:pPr>
        <w:pStyle w:val="Heading2"/>
      </w:pPr>
      <w:r>
        <w:t>Erwägungen</w:t>
      </w:r>
    </w:p>
    <w:p>
      <w:r>
        <w:rPr>
          <w:b/>
        </w:rPr>
        <w:t>E. 1</w:t>
      </w:r>
    </w:p>
    <w:p>
      <w:r>
        <w:t>Mit Verfügung vom 30. April 2021 wies die Kindes- und Erwachsenenschutzbehörde (KESB) Region Solothurn ein Einsichtsgesuch von A.___ in die Akten von B.___ ab.</w:t>
      </w:r>
    </w:p>
    <w:p>
      <w:r>
        <w:rPr>
          <w:b/>
        </w:rPr>
        <w:t>E. 1.1</w:t>
      </w:r>
    </w:p>
    <w:p>
      <w:r>
        <w:t>Gemäss Art. 450b Abs. 1 des Schweizerischen Zivilgesetzbuches (ZGB, SR 210) beträgt die Beschwerdefrist gegen Entscheide der KESB dreissig Tage seit Mitteilung des Entscheids.</w:t>
      </w:r>
    </w:p>
    <w:p>
      <w:r>
        <w:rPr>
          <w:b/>
        </w:rPr>
        <w:t>E. 1.2</w:t>
      </w:r>
    </w:p>
    <w:p>
      <w:r>
        <w:t>Nach § 9 des Verwaltungsrechtspflegegesetzes (VRG, BGS 124.11) beginnen Fristen, die nach Tagen oder Zeiteinheiten bestimmt sind,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Eine Frist gilt als eingehalten, wenn die Eingabe spätestens am letzten Tag der Frist bei der Behörde eingereicht oder zu deren Händen der schweizerischen Post übergeben wird (vgl. § 9 Abs. 2 VRG).</w:t>
      </w:r>
    </w:p>
    <w:p>
      <w:r>
        <w:rPr>
          <w:b/>
        </w:rPr>
        <w:t>E. 1.3</w:t>
      </w:r>
    </w:p>
    <w:p>
      <w:r>
        <w:t>Der Entscheid wurde A.___ unbestritten am 3. Mai 2021 zugestellt, womit die Beschwerdefrist am Folgetag zu laufen begonnen hat und am 2. Juni 2021 endete.</w:t>
      </w:r>
    </w:p>
    <w:p>
      <w:r>
        <w:rPr>
          <w:b/>
        </w:rPr>
        <w:t>E. 1.4</w:t>
      </w:r>
    </w:p>
    <w:p>
      <w:r>
        <w:t>Der Beschwerdeführer führt zwar aus, die Sendung noch am 2. Juni 2021 und damit rechtzeitig in den Briefkasten eingeworfen zu haben, kann dies jedoch nicht belegen. Massgebend ist somit der Poststempel vom 4. Juni 2021, womit die Beschwerde verspätet erfolgt ist.</w:t>
      </w:r>
    </w:p>
    <w:p>
      <w:r>
        <w:rPr>
          <w:b/>
        </w:rPr>
        <w:t>E. 2</w:t>
      </w:r>
    </w:p>
    <w:p>
      <w:r>
        <w:t>Diese Verfügung wurde A.___ am 3. Mai 2021 zugestellt.</w:t>
      </w:r>
    </w:p>
    <w:p>
      <w:r>
        <w:rPr>
          <w:b/>
        </w:rPr>
        <w:t>E. 2.1</w:t>
      </w:r>
    </w:p>
    <w:p>
      <w:r>
        <w:t>Gemäss § 10bisdes Verwaltungsrechtspflegegesetzes (VRG, BGS 124.11)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w:t>
      </w:r>
    </w:p>
    <w:p>
      <w:r>
        <w:rPr>
          <w:b/>
        </w:rPr>
        <w:t>E. 2.2</w:t>
      </w:r>
    </w:p>
    <w:p>
      <w:r>
        <w:t>Nach der bundesgerichtlichenRechtsprechungist die Wiederherstellung der Frist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(vgl. Urteile des Bundesgerichts 9C_862/2018 vom 10. Januar 2019 E. 1.2, 9C_821/2016 vom 2. Februar 2017 E. 2.2).</w:t>
      </w:r>
    </w:p>
    <w:p>
      <w:r>
        <w:rPr>
          <w:b/>
        </w:rPr>
        <w:t>E. 2.3</w:t>
      </w:r>
    </w:p>
    <w:p>
      <w:r>
        <w:t>Es mag zwar ärgerlich sein, dass die Post die Leerungszeit des fraglichen Briefkastens nur drei Tage zuvor um eine Stunde vorverlegt hat. Nachdem aber der Beschwerdeführer ganze 30 Tage Zeit hatte, um zu handeln, und er auch nicht nachweisen kann, seine Sendung tatsächlich am 2. Juni 2021 zwischen 18:00 Uhr und 19:00 Uhr eingeworfen zu haben, lässt sich die Verspätung nicht entschuldigen und die verpasste Frist nicht wiederherstellen.</w:t>
      </w:r>
    </w:p>
    <w:p>
      <w:r>
        <w:t>3. Auf die Beschwerde ist deshalb wegen Verspätung nicht einzutreten. Bei diesem Ausgang hat A.___ die Kosten des Verfahrens vor Verwaltungsgericht von CHF 100.00 zu bezahlen.</w:t>
      </w:r>
    </w:p>
    <w:p>
      <w:r>
        <w:t>Demnach wirdbeschlossen:</w:t>
      </w:r>
    </w:p>
    <w:p>
      <w:r>
        <w:t>1.Auf die Beschwerde wird nicht eingetreten.</w:t>
      </w:r>
    </w:p>
    <w:p>
      <w:r>
        <w:t>2.A.___ hat die Kosten des Verfahrens vor Verwaltungsgericht von CHF 100.00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Dagegen erhob A.___ mit Schreiben, welches auf den 2. Juni 2021 datiert ist, Beschwerde an das Verwaltungsgericht. Der Briefumschlag trägt den Poststempel vom 4. Juni 2021.</w:t>
      </w:r>
    </w:p>
    <w:p>
      <w:r>
        <w:rPr>
          <w:b/>
        </w:rPr>
        <w:t>E. 4</w:t>
      </w:r>
    </w:p>
    <w:p>
      <w:r>
        <w:t>Mit Verfügung vom 7. Juni 2021 wurde A.___ aufgefordert, die Rechtzeitigkeit seiner Beschwerde nachzuweisen.</w:t>
      </w:r>
    </w:p>
    <w:p>
      <w:r>
        <w:rPr>
          <w:b/>
        </w:rPr>
        <w:t>E. 5</w:t>
      </w:r>
    </w:p>
    <w:p>
      <w:r>
        <w:t>Mit Stellungnahme vom 15. Juni 2021 bringt A.___ vor, er habe die Beschwerde am 2. Juni 2021 um 18:10 Uhr in den Briefkasten geworfen. Am 3. Juni 2021 sei ein Feiertag gewesen. Er habe nicht wissen können, dass die Post die Leerungszeiten dieses Briefkastens per 30. Mai 2021 von 19:00 Uhr auf 18:00 Uhr vorverschoben habe. Die Verschiebung der Leerungszeiten belegt er mit einem entsprechenden Schreiben der Post.</w:t>
      </w:r>
    </w:p>
    <w:p>
      <w:r>
        <w:t>II.</w:t>
      </w:r>
    </w:p>
    <w:p>
      <w:r>
        <w:rPr>
          <w:b/>
        </w:rPr>
        <w:t>E. 10</w:t>
      </w:r>
    </w:p>
    <w:p>
      <w:r>
        <w:t>bis des Verwaltungsrechtspflegegesetzes (VRG, BGS 124.11)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