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VWBES.2020.18 vom 12. August 2020</w:t>
      </w:r>
    </w:p>
    <w:p>
      <w:r>
        <w:t>SO Obergericht, 2020-08-12, DE</w:t>
      </w:r>
    </w:p>
    <w:p>
      <w:r>
        <w:rPr>
          <w:b/>
        </w:rPr>
        <w:t xml:space="preserve">Quelle: </w:t>
      </w:r>
      <w:r>
        <w:t>https://mcp.opencaselaw.ch/entscheid/so_gerichte_VWBES.2020.18</w:t>
      </w:r>
    </w:p>
    <w:p>
      <w:r>
        <w:t>FR: SO_GERICHTE VWBES.2020.18 du 12 août 2020</w:t>
      </w:r>
    </w:p>
    <w:p>
      <w:r>
        <w:t>IT: SO_GERICHTE VWBES.2020.18 del 12 agosto 2020</w:t>
      </w:r>
    </w:p>
    <w:p>
      <w:pPr>
        <w:pStyle w:val="Heading2"/>
      </w:pPr>
      <w:r>
        <w:t>Erwägungen</w:t>
      </w:r>
    </w:p>
    <w:p>
      <w:r>
        <w:rPr>
          <w:b/>
        </w:rPr>
        <w:t>E. 1</w:t>
      </w:r>
    </w:p>
    <w:p>
      <w:r>
        <w:t>DieADEV Wasserkraftwerk AGreichte ein Baugesuch für die Sanierung der Zentrale des Kraftwerks an der Dünnern ein. Das Amt für Raumplanung liess mit Schreiben vom</w:t>
      </w:r>
    </w:p>
    <w:p>
      <w:r>
        <w:rPr>
          <w:b/>
        </w:rPr>
        <w:t>E. 1.1</w:t>
      </w:r>
    </w:p>
    <w:p>
      <w:r>
        <w:t>Die Beschwerde ist frist- und formgerecht erhoben worden. Sie ist zulässiges Rechtsmittel, und das Verwaltungsgericht ist zur Beurteilung zuständig (vgl. § 49 Gerichtsorganisationsgesetz, GO, BGS 125.12). Die Beschwerdeführerin ist durch den angefochtenen Entscheid beschwert und damit grundsätzlich zur Beschwerde legitimiert.</w:t>
      </w:r>
    </w:p>
    <w:p>
      <w:r>
        <w:rPr>
          <w:b/>
        </w:rPr>
        <w:t>E. 1.2</w:t>
      </w:r>
    </w:p>
    <w:p>
      <w:r>
        <w:t>Die Betreiberin des Kraftwerks hat keine Beschwerde erhoben. Sie hat die hier angefochtene Verfügung akzeptiert. Sie kann deshalb keine eigenen Anträge stellen. Sie hat nur die Befugnis, die Beschwerde zu beantworten, mithin die Vorbringen der Beschwerdeführerin zu bestreiten und zu entkräften.</w:t>
      </w:r>
    </w:p>
    <w:p>
      <w:r>
        <w:rPr>
          <w:b/>
        </w:rPr>
        <w:t>E. 1.3</w:t>
      </w:r>
    </w:p>
    <w:p>
      <w:r>
        <w:t>Im vorliegenden Verfahren geht es ausschliesslich um die angefochtene Verfügung vom 8. Januar 2020. Das Verwaltungsgericht ist nicht zuständig, um eine bestimmte Massnahme zu vollstrecken oder eine allenfalls nicht ganz geglückte Sanierung bzw. Mängelbehebung nachbessern zu lassen. Das Gutachten B.___ und M.___ listet auf S. 9 f. sechs Mängel auf. Zu deren Behebung kann das Gericht (vorläufig) nichts beitragen. Dies sei vorweg gesagt.</w:t>
      </w:r>
    </w:p>
    <w:p>
      <w:r>
        <w:rPr>
          <w:b/>
        </w:rPr>
        <w:t>E. 1.4</w:t>
      </w:r>
    </w:p>
    <w:p>
      <w:r>
        <w:t>Die Beschwerdeführerin ist, offenbar während eines Testbetriebs, zur Auffassung gelangt, die «Sanierung» sei missglückt. Sie möchte deshalb eine Expertise angeordnet haben. Das Verwaltungsgericht ist funktionell nicht zuständig: Nach der Mängelbehebung sind nach Ziffer 5 der angefochtenen Verfügung Abnahmemessungen durchzuführen. Das Departement wird sodann gegebenenfalls das Nötige gestützt auf die Umweltschutzgesetzgebung (E.4.1 hiernach) anordnen.</w:t>
      </w:r>
    </w:p>
    <w:p>
      <w:r>
        <w:t>2. Die Beschwerdeführerin macht eine Verletzung des rechtlichen Gehörs geltend, weil der abgeänderte Verfügungsentwurf nur der Kraftwerkbetreiberin zugestellt worden war. Die erste Fassung hatte die Beschwerdeführerin zur Stellungnahme erhalten.</w:t>
      </w:r>
    </w:p>
    <w:p>
      <w:r>
        <w:t>2.1 Das rechtliche Gehör nach Art. 29 Abs. 2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dass die Behörde die Vorbringen der betroffenen Person auch tatsächlich hört, prüft und in der Entscheidfindung berücksichtigt.</w:t>
      </w:r>
    </w:p>
    <w:p>
      <w:r>
        <w:t>2.2 In der Schweiz ist ein «Vorbescheid» im Verfahren der Invalidenversicherung vorgesehen. In Deutschland heisst die Antwort auf eine baurechtliche Voranfrage so. Es ist im Bau- und Umweltrecht unüblich, den Entwurf einer Verfügung den Parteien vorab zur Stellungnahme, gewissermassen zur Kritik, zuzuschicken. Unzulässig ist ein solches Vorgehen aber nicht; es ist bei komplexen Sachverhalten vielleicht sogar tunlich. Es muss jedoch möglich bleiben, den versandten Entwurf (ohne weiteren Schriftenwechsel) zumindest noch marginal abzuändern. Im vorliegenden Fall erfolgte die Änderung offenbar, nach summarischer Prüfung, zu Gunsten der Beschwerdeführerin, wurden die Auflagen doch verschärft. Dies kann aber offenbleiben:</w:t>
      </w:r>
    </w:p>
    <w:p>
      <w:r>
        <w:t>2.3 Selbst dann, wenn eine Verletzung des Anspruchs auf rechtliches Gehör zu bejahen wäre, könnte diese nicht besonders schwerwiegende Verletzung hier als geheilt gelten, weil die Beschwerdeführerin die Möglichkeit erhielt, sich vor dem Verwaltungsgericht sehr einlässlich zu äussern. Das Gericht kann sowohl den Sachverhalt als auch die Rechtslage frei überprüfen (vgl. § 67bisAbs. 1 und 2 VRG).</w:t>
      </w:r>
    </w:p>
    <w:p>
      <w:r>
        <w:t>3. Da Fälle wie der vorliegende, jedenfalls in der Rechtsprechung, selten sind, seien folgende Erläuterungen vorangestellt: Verursacher von Erschütterungen sind in der Schweiz namentlich der schienengebundene Verkehr, die Industrie und die Wasserkraftwerke. Sie erzeugen tieffrequente Schwingungen. Die Vibrationen übertragen sich durch Mauern auf Wohnräume und können dort gefühlt werden. Körperschall ist der Lärm, der durch Wände und Böden abgestrahlt und (meist als dumpfes Grollen) hörbar wahrgenommen wird. Es ist der Schall, der am Empfangsort wegen Schwingungen eines dafür geeigneten Bauteils entsteht (Urteil 1C_315/2017 des Bundesgerichts vom 4. September 2018 E.4.1).</w:t>
      </w:r>
    </w:p>
    <w:p>
      <w:r>
        <w:t>Massnahmen, die gegen Erschütterungen ergriffen werden können, sind namentlich:</w:t>
      </w:r>
    </w:p>
    <w:p>
      <w:r>
        <w:t>Beim Köperschall werden kleinste Unterschiede im Schallpegel als grosse Unterschiede der Lautstärke wahrgenommen. Zum Schutz vor abgestrahltem Körperschall kann das Niveau von den Aussenlärmgrenzwerten abgeleitet werden. Dabei muss aber den empfindungsspezifischen Unterschieden beim Erleben von tieffrequentem Innenlärm Rechnung getragen werden. Der Entwurf einer Verordnung über den Schutz vor Erschütterungen (VSE) ist seit 2006 in der Vernehmlassung. (Kantone Aargau und Graubünden: Merkblätter Erschütterungen und Körperschall. Tommaso Meloni: Schutz des Menschen vor Erschütterungen, Tagung der Eidgenössischen Schätzungskommissionen vom 9. November 2010).</w:t>
      </w:r>
    </w:p>
    <w:p>
      <w:r>
        <w:t>4.1 Erschütterungen sind Einwirkungen nach Art. 7 des Umweltschutzgesetzes (USG, SR 814.01). Anders als für Lärm bestehen keine Immissionsgrenzwerte. Erschütterungen sind im Einzelfall zu beurteilen. Erschütterungen gelten unter anderem dann als schädlich oder lästig, wenn sie die Bevölkerung in ihrem Wohlbefinden erheblich stören, wobei von einer objektivierten Empfindlichkeit ausgegangen werden muss. Emissionsbegrenzungen sind mit unmittelbar auf das USG gestützten Verfügungen zu treffen (Art. 12 Abs. 2 USG i.V.m. Art. 11 Abs.2 USG). Es darf auf private oder ausländische Richtlinien abgestellt werden (vgl. URP 1993, 204 f.; Urteil des Bundesgerichts 1C_315/2017).</w:t>
      </w:r>
    </w:p>
    <w:p>
      <w:r>
        <w:t>4.2 Wendet man die SIA-Norm 181 an, auf die die Lärmschutzverordnung (LSV, SR 814.41) in Art. 32 verweist, so ist die Lärmempfindlichkeit nach Ziffer 2.3 als mittel einzustufen (Wohnen, Schlafen, geistige Arbeiten). Eine höhere Einstufung erfolgt bloss für spezielle Ruheräume in Spitälern und Sanatorien. Für abgestrahlten Körperschall aus Industrie und Gewerbe sind die Anforderungen für Geräusche haustechnischer Anlagen und fester Einrichtungen im Gebäude zu erfüllen (Ziffer 3.2.4.3). Nach Ziffer 3.2.3.4 gelten beim Schutz vor solchen Geräuschen 25 dB(A) als Kleinstwert. 28 dB(A) wären der Anforderungswert für Dauergeräusche; 33 dB(A) gelten für einzelne Funktionsgeräusche (vgl. Tabelle 6). Die Vorinstanz hat somit den niedrigst möglichen Beurteilungspegel gewählt. Der Beurteilungspegel entspräche beim Luftschall etwa der Geräuschkulisse in einem ruhigen Schlafzimmer. (Die ZC Z.___ Consultants AG hat vor der Instandstellung Maximalwerte von 33 dB(A) gemessen, vgl. Gutachten S. 22)</w:t>
      </w:r>
    </w:p>
    <w:p>
      <w:r>
        <w:t>Zum Vergleich: Bei Lärm am Arbeitsplatz meint die suva zu Luftschall, erst ab einem achtstündigen Lärmexpositionspegel ab 85 dB(A) seien Massnahmen angezeigt. In einem Kleinbüro, einem Operationssaal oder einem Ruheraum wird von einem Lexvon 40 dB(A) ausgegangen. Bei einer Dienstwohnung wären es nachts 35 dB(A) (vgl. Merkblatt Akustische Grenz- und Richtwerte vom August 2019).</w:t>
      </w:r>
    </w:p>
    <w:p>
      <w:r>
        <w:t>4.3 Die Stadt Bern (Direktion für Sicherheit, Umwelt und Energie: Beurteilung von Erschütterungen und abgestrahltem Körperschall, Beurteilung von Erschütterungen und abgestrahltem Körperschall vor dem Inkrafttreten der Verordnung [ohne hausinterne Quellen], 24. Oktober 2018) verweist auf die Deutsche Industrie Norm DIN 4510-2, Tabelle 1 (Anhaltswerte für die Beurteilung von Erschütterungsimmissionen in Wohnungen und vergleichbar genutzten Räumen), meint aber, bis die Verordnung zum Schutz vor Erschütterungen in Kraft trete, sei kein Vollzug möglich. Die an sich einschlägige Norm 4510-2 «Erschütterungen im Bauwesen, Teil 2, Einwirkungen auf Menschen in Gebäuden» ist im vorliegenden Fall nicht anwendbar, denn die Betreiberin führt unwidersprochen aus, die Erschütterungen des Kraftwerks lägen unter der Wahrnehmungsgrenze von 0.2 mm/s (vgl. auch die Schlussfolgerung des Gutachtens derZC Z.___ Consultants AGvom 21. Februar 2018, S. 22). Es geht hier bloss um Körperschall.</w:t>
      </w:r>
    </w:p>
    <w:p>
      <w:r>
        <w:t>4.4 Die Norm SN 640 312 «Erschütterungseinwirkungen auf Bauwerke» wird in diesem Zusammenhang ebenfalls zitiert, enthält aber keine hier verwertbaren Informationen. Es bleibt deshalb bei der Beurteilung nach SIA 181.</w:t>
      </w:r>
    </w:p>
    <w:p>
      <w:r>
        <w:rPr>
          <w:b/>
        </w:rPr>
        <w:t>E. 5</w:t>
      </w:r>
    </w:p>
    <w:p>
      <w:r>
        <w:t>Die Beschwerdeführerin ergänzte, die Verletzung des Anspruchs auf rechtliches Gehör führe mindestens dazu, dass die Vorinstanz kosten- und entschädigungspflichtig werde. Die Vorinstanz habe die Sanierungsverfügung mit der Betreiberin abgesprochen. Die Aussage, die Betreiberin habe nicht Stellung genommen, sei falsch. Der Spülvorgang sei nicht von untergeordneter Bedeutung, sondern die Hauptquelle des Körperschalls. Der Beurteilungspegel habe ebenfalls für die Turbinenreinigung zu gelten. Der Vorgang habe nachts zu unterbleiben. Die Reinigung würde die Beschwerdeführerin sonst aus dem Schlaf reissen. Es könne nicht angehen, den Grenzwert für den Spülvorgang zu erhöhen. Die Sanierung sei erst dann abgeschlossen, wenn keine Körperschallimmissionen mehr aufträten. Gegebenenfalls seien verschiedene Massnahmen kumulativ anzuordnen. Die Beschwerdeführerin habe mittlerweile Einsicht in das Gutachten derB.___ und M.___ AGerhalten. Dieser Punkt sei erledigt. Es sei denkbar, dass die Verschiebung des Kraftwerks zu Problemen geführt habe. Körperschall über 30 dB(A) werde nach dem Gutachten derZ.___ Consultants AGklar als störend beurteilt. Die Sanierungsfrist sei verbindlich, weil der Beschwerde keine aufschiebende Wirkung zuerkannt worden sei. Die Anträge der Beschwerdeführerin seien darauf ausgerichtet, eine Handhabe für den Fall zu haben, dass die Sanierung nicht erfolgreich sei, was ohne weiteres denkbar sei. Die Anlage stehe im Grundwasser; die Wanne sei nicht korrekt abgedichtet worden.</w:t>
      </w:r>
    </w:p>
    <w:p>
      <w:r>
        <w:rPr>
          <w:b/>
        </w:rPr>
        <w:t>E. 5.1</w:t>
      </w:r>
    </w:p>
    <w:p>
      <w:r>
        <w:t>Nach dem Wortlaut der angefochtenen Verfügung ist das Spülen der Turbinen vom festgelegten flüsterleisen Beurteilungswert von 25 dB(A) mitumfasst. Das Spülen findet vielleicht dreimal am Tag zwei Minuten lang statt. Da Beurteilungspegel, so es sie denn gäbe, in der Schweiz Mittelungspegel sind, fiele dieses Geräusch ohnedies nicht in Betracht.</w:t>
      </w:r>
    </w:p>
    <w:p>
      <w:r>
        <w:rPr>
          <w:b/>
        </w:rPr>
        <w:t>E. 5.2</w:t>
      </w:r>
    </w:p>
    <w:p>
      <w:r>
        <w:t>Um, für den (wahrscheinlichen) Fall, dass die Spülung die 25 dB(A) nicht einhält, eine Ruhezeit festzulegen, fehlt (auch noch) eine einschlägige anwendbare Norm.</w:t>
      </w:r>
    </w:p>
    <w:p>
      <w:r>
        <w:t>Demnach wirderkannt:</w:t>
      </w:r>
    </w:p>
    <w:p>
      <w:r>
        <w:t>1.Die Beschwerde wird abgewiesen, soweit darauf eingetreten werden kann.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5.3</w:t>
      </w:r>
    </w:p>
    <w:p>
      <w:r>
        <w:t>Die Beschwerdeführerin wohnt in einer normalen Wohnzone W2. Die Parzelle ist lärmmässig der Empfindlichkeitsstufe II zugewiesen. Nach der Lärmschutzverordnung würden somit beim Luftschall für eine Gewerbenutzung Planungswerte von 55 dB(A) tagsüber und 45 dB(A) nachts gelten. Gewisse Immissionen sind durch die Beschwerdeführerin hinzunehmen. Es ist deshalb nicht angängig, bereits heute Anordnungen für den Fall vorzusehen, dass sich das ehrgeizige Sanierungsziel nicht (auf Anhieb) erreichen lässt. 6. Die Beschwerde erweist sich somit als unbegründet. Sie ist abzuweisen, soweit darauf eingetreten werden kann. Bei diesem Ausgang hat die Beschwerdeführerin die Kosten des Verfahrens vor Verwaltungsgericht zu bezahlen, die einschliesslich der Entscheidgebühr auf CHF 1'500.00 festzusetzen sind. Die Beschwerdeführerin hat der ADEV Wasserkraftwerk AG eine Parteientschädigung auszurichten. Die geforderten CHF 3'421.50 (inkl. Auslagen und Mehrwertsteuer) erscheinen als angemessen.</w:t>
      </w:r>
    </w:p>
    <w:p>
      <w:r>
        <w:rPr>
          <w:b/>
        </w:rPr>
        <w:t>E. 6</w:t>
      </w:r>
    </w:p>
    <w:p>
      <w:r>
        <w:t>Das Departement ergänzte, man habe seinerzeit am Verfügungsentwurf gestützt auf die Eingabe der Beschwerdeführerin Anpassungen vorgenommen. Dies stelle ein Entgegenkommen dar. Es gehe um eine Verschärfung der Immissionsbeschränkung, die nur noch der Betreiberin zugestellt worden sei.</w:t>
      </w:r>
    </w:p>
    <w:p>
      <w:r>
        <w:rPr>
          <w:b/>
        </w:rPr>
        <w:t>E. 7</w:t>
      </w:r>
    </w:p>
    <w:p>
      <w:r>
        <w:t>Die Beschwerdeführerin liess nun am 30. Juni 2020 beantragen, es sei eine gerichtliche Expertise anzuordnen. Das Kraftwerk sei am 8. Juni 2020 wieder in Betrieb genommen worden; offenbar handle es sich um einen Testbetrieb. In den Räumen der Beschwerdeführerin sei ein lautes Brummen zu vernehmen. Die Turbinenreinigung sei laut und störend wahrnehmbar. Man habe 32 dB gemessen. Über die Körperschall-Immissionen in der Liegenschaft der Beschwerdeführerin sei eine Expertise einzuholen. Ausserdem sei ein Augenschein zu nehmen. Die Beschwerdeführerin befürchte, dass sich die Sanierung nicht auf ihre Liegenschaft ausgewirkt habe.</w:t>
      </w:r>
    </w:p>
    <w:p>
      <w:r>
        <w:rPr>
          <w:b/>
        </w:rPr>
        <w:t>E. 8</w:t>
      </w:r>
    </w:p>
    <w:p>
      <w:r>
        <w:t>Die Betreiberin liess entgegnen, es gehe nicht um eine Sanierung, sondern um eine Behebung von Werkmängeln. Die Beschwerdeführerin habe keinen Anspruch, in den Mängelbehebungsprozess einbezogen zu werden. Die Beschwerdeführerin wolle halt einfach kein Kraftwerk haben.</w:t>
      </w:r>
    </w:p>
    <w:p>
      <w:r>
        <w:rPr>
          <w:b/>
        </w:rPr>
        <w:t>E. 9</w:t>
      </w:r>
    </w:p>
    <w:p>
      <w:r>
        <w:t>Für die übrigen Anbringen der Parteien wird auf die Akten verwiesen. Soweit erforderlich, ist in den nahstehenden Erwägungen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