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VWBES.2019.101 vom 28. Mai 2019</w:t>
      </w:r>
    </w:p>
    <w:p>
      <w:r>
        <w:t>SO Obergericht, 2019-05-28, DE</w:t>
      </w:r>
    </w:p>
    <w:p>
      <w:r>
        <w:rPr>
          <w:b/>
        </w:rPr>
        <w:t xml:space="preserve">Quelle: </w:t>
      </w:r>
      <w:r>
        <w:t>https://mcp.opencaselaw.ch/entscheid/so_gerichte_VWBES.2019.101</w:t>
      </w:r>
    </w:p>
    <w:p>
      <w:r>
        <w:t>FR: SO_GERICHTE VWBES.2019.101 du 28 mai 2019</w:t>
      </w:r>
    </w:p>
    <w:p>
      <w:r>
        <w:t>IT: SO_GERICHTE VWBES.2019.101 del 28 maggio 2019</w:t>
      </w:r>
    </w:p>
    <w:p>
      <w:pPr>
        <w:pStyle w:val="Heading2"/>
      </w:pPr>
      <w:r>
        <w:t>Erwägungen</w:t>
      </w:r>
    </w:p>
    <w:p>
      <w:r>
        <w:rPr>
          <w:b/>
        </w:rPr>
        <w:t>E. 2</w:t>
      </w:r>
    </w:p>
    <w:p>
      <w:r>
        <w:t>Am 28. Februar 2019 verfügte die Motorfahrzeugkontrolle des Kantons Solothurn (nachfolgend: MFK), namens des Bau- und Justizdepartements, gegen A.___ einen Entzug des Führerausweises auf Probe für einen Monat und verlängerte die Probezeit um ein Jahr. Sie stufte die Widerhandlung vom 23. November 2017 als mittelschwere Verletzung der Verkehrsregeln ein. 3.1 Dagegen erhob A.___ (nachfolgend: Beschwerdeführer) am 15. März 2019 Beschwerde an das Verwaltungsgericht des Kantons Solothurn und ersuchte um Aufhebung des angefochtenen Entscheids. Eventualiter sei eine Verwarnung auszusprechen. Alles unter Kosten- und Entschädigungsfolgen. Zudem ersuchte er um Gewährung der aufschiebenden Wirkung. 3.2 Mit Präsidialverfügung vom 18. März 2019 wurde der Beschwerde die aufschiebende Wirkung erteilt. 3.3 Mit Vernehmlassung vom 18. April 2019 schloss die MFK auf Abweisung der Beschwerde. 3.4 Mit Replik vom 12. Mai 2019 hielt der Beschwerdeführer an den bereits gestellten Rechtsbegehren fest.</w:t>
      </w:r>
    </w:p>
    <w:p>
      <w:r>
        <w:rPr>
          <w:b/>
        </w:rPr>
        <w:t>E. 2.1</w:t>
      </w:r>
    </w:p>
    <w:p>
      <w:r>
        <w:t>Der Beschwerdeführer rügt eine Verletzung seines rechtlichen Gehörs, indem die Vorinstanz auf das Verschulden überhaupt nicht eingehe bzw. dieses stillschweigend als gegeben erachte. Aufgrund des formellen Charakters des Gehörsanspruchs ist diese Rüge vorab zu prüfen (vgl. statt vieler: Urteile des BGer 4A_453/2016 vom 16. Februar 2017 E. 2.4; 1C_492/2011 vom 23. Februar 2012 E. 2).</w:t>
      </w:r>
    </w:p>
    <w:p>
      <w:r>
        <w:rPr>
          <w:b/>
        </w:rPr>
        <w:t>E. 2.2</w:t>
      </w:r>
    </w:p>
    <w:p>
      <w:r>
        <w:t>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rPr>
          <w:b/>
        </w:rPr>
        <w:t>E. 2.3</w:t>
      </w:r>
    </w:p>
    <w:p>
      <w:r>
        <w:t>Entgegen der Auffassung des Beschwerdeführers ist es unzutreffend, dass sich die MFK nicht zum Verschulden äusserte. Sie erwog nämlich im angefochtenen Entscheid, der Beschwerdeführer habe grundsätzliche Sorgfaltspflichten verletzt. Bei pflichtgemässer Aufmerksamkeit hätte er den Unfall unschwer vermeiden können. Wenn bei einer Geschwindigkeit von 100 km/h die Aufmerksamkeit nicht der Strasse und dem Verkehr zugewendet werde, so dass die Mittelplanke touchiert werde, könne weder von einem besonders leichten noch von einem nur leichten Verschulden gesprochen werden. Die Rüge der Gehörsverletzung ist somit unbegründet. 3.1 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 3.2 Die MFK wertete das Verhalten des Beschwerdeführers als mittelschwere Widerhandlung gegen die Strassenverkehrsvorschriften gemäss Art. 16b Abs. 1 lit. a SVG. Das Bezirksgericht Baden qualifizierte das Verhalten des Beschwerdeführers als leichte Verkehrswiderhandlung i.S.v. Art. 90 Abs. 1 SVG. 3.3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1C_266/2014 vom 17. Februar 2015 E. 2.1.2). 3.4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BGer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Abs. 1 SVG schliesst die Annahme einer mittelschweren Widerhandlung im Administrativverfahren nicht aus (Urteil des BGer 1C_184/2011 vom 31. Oktober 2011 2.4.2 mit Hinweisen).</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4.1</w:t>
      </w:r>
    </w:p>
    <w:p>
      <w:r>
        <w:t>Strittig und zu klären ist, ob die Vorinstanz das Verhalten des Beschwerdeführers zu Recht als mittelschwere Widerhandlung gegen die Strassenverkehrsvorschriften gewertet und ihm den Führerausweis deshalb für einen Monat entzogen hat.</w:t>
      </w:r>
    </w:p>
    <w:p>
      <w:r>
        <w:rPr>
          <w:b/>
        </w:rPr>
        <w:t>E. 4.2</w:t>
      </w:r>
    </w:p>
    <w:p>
      <w:r>
        <w:t>Der Beschwerdeführer moniert, er habe die Mittelleitplanke lediglich seitlich leicht gestreift. Der Verkehrsfluss sei durch die Berührung in keiner Weise behindert worden und nachfolgende Fahrzeuge hätten nicht bremsen müssen. Den Fehler seiner Unachtsamkeit habe er in der Folge augenblicklich wieder selber korrigieren können. Es sei ausschliesslich leichter Sachschaden (Kratzspuren) an seinem Fahrzeug entstanden. Demgemäss könne zweifellos von einer geringen Gefahr ausgegangen werden. Das leichte seitliche Streifen der Leitplanke habe vorliegend «Missgeschickscharakter». Demgemäss seien sowohl eine geringe Gefahr sowie ein nur sehr leichtes Verschulden kumulativ gegeben. Damit seien die Voraussetzungen eines «besonders leichten Falles.i.S.v. Art. 16a Abs. 4 SVG erfüllt. Dass sein Verschulden leicht sei, indiziere bereits das Strafurteil mit einer Busse von CHF 200.00. 5.1 Der Fahrzeuglenker muss das Fahrzeug ständig so beherrschen, dass er seinen Vorsichtspflichten nachkommen kann (Art. 31 Abs. 1 SVG). Er muss die erforderliche Aufmerksamkeit im Verkehr aufbringen und jederzeit in der Lage sein, in der erforderlichen Weise auf das Fahrzeug einzuwirken und ohne Zeitverlust auf eine Gefahr zweckmässig reagieren zu können (Philippe Weissenberger, Kommentar zum Strassenverkehrsgesetz, Zürich/St. Gallen 2015, Art. 31 N 1 mit Hinweisen). Das Mass der Aufmerksamkeit, die der Fahrzeugführer nach Art. 31 Abs. 1 SVG der Strasse und dem Verkehr zuzuwenden hat, richtet sich nach den gesamten Umständen, namentlich der Verkehrsdichte, den örtlichen Verhältnissen, der Zeit, der Sicht und den voraussehbaren Gefahrenquellen (BGE 127 II 302 E. 3c; 122 IV 225 E. 2b; 120 IV 63 E. 2a). Ein Nichtbeherrschen des Fahrzeugs kann auch allein in einer klarerweise falschen Reaktion des Fahrers, die ihm vorgeworfen werden kann, liegen. Wer in einer bestimmten Gefahrenlage falsch reagiert, beherrscht das Fahrzeug nicht (Urteil des BGer 6P.61/2003 vom 26. Juni 2003, E. 2.3). Die Anforderungen an den Führer, sein Fahrzeug ständig zu beherrschen gehört zu den wesentlichsten und wohl wichtigsten Verkehrsregeln (Andreas Roth in : Marcel Alexander Niggli et al. [Hrsg.], Strassenverkehrsgesetz, Basler Kommentar, Basel 2014, Art. 31 N 1; Philippe Weissenberger, a.a.O., Art. 31 N 2 ). 5.2 Zu prüfen ist, ob der Beschwerdeführer durch seine Streifkollision mit der Mittelleitplanke eine nur geringe Gefahr für die Sicherheit anderer hervorgerufen hat. Durch seinen Fahrfehler hat sich der Lenker primär selbst gefährdet und Sachschaden am eigenen Fahrzeug verursacht. Zwar kam es glücklicherweise zu keinen schwereren (Unfall-)Folgen und zu keiner direkten oder indirekten Beteiligung von dritten Personen. Dies schliesst jedoch eine massgebende Gefahr für andere Verkehrsteilnehmer im Sinne von Art. 16b Abs. 1 lit. a SVG nicht aus (vgl. Urteil des BGer 1C_478/2014 vom 14. Juli 2015 E. 2.3). Der Vorfall ereignete sich am 23. November 2017, einem Donnerstagmorgen, ca. 7:45 Uhr auf trockener, ebener Fahrbahn. Bei der A1 handelt es sich besonders zu Zeiten des Berufsverkehrs um eine sehr stark frequentierte Autobahn. Die Höchstgeschwindigkeit beträgt auf fraglichem Strassenabschnitt 100 km/h. Aus dem Gerichtsentscheid ergibt sich nicht, mit welcher Wucht der Personenwagen des Beschwerdeführers mit der Leitplanke kollidierte. Aus den sich bei den Akten befindenden Fotografien ist jedenfalls ersichtlich, dass das Fahrzeug des Beschwerdeführers auf der ganzen linken Seite Kratzspuren aufweist (vorderer und hinterer Radkasten, Türe, Seitenspiegel). Gemäss Aussagen des Beschwerdeführers konnte er das Fahrzeug (nach der Kollision) zwar umgehend wieder unter Kontrolle bringen. Gegenüber der Polizei gab er unterschriftlich zu Protokoll, dass er «ein kleines Blackout» (polizeiliche Einvernahme durch die Kantonspolizei Aargau vom 23. November 2017, S. 3), eventuell einen Sekundenschlaf (polizeiliche Einvernahme durch die Kantonspolizei Aargau vom 23. November 2017, S. 4) gehabt habe. Unabhängig vom Grund für die Unaufmerksamkeit des Beschwerdeführers steht fest, dass er sein Fahrzeug bei einer Geschwindigkeit von rund 100 km/h für einen Moment nicht mehr unter Kontrolle hatte. Dies hätte – wie die Vorinstanz zu Recht feststellt – für weitere Verkehrsteilnehmer auf der stark frequentierten Autobahn gravierende Folgen haben können. Bei gesamthafter Betrachtung ist hier nicht nur von einer Selbstgefährdung des Lenkers auszugehen, sondern zudem von einer erhöhten abstrakten Gefahr der übrigen Verkehrsteilnehmer. Es gehört zu den elementarsten Sorgfaltspflichten des Fahrzeugführers, sein Fahrzeug zu beherrschen. Der Beschwerdeführer selbst führt aus, dass der Vorfall einzig seinem Verhalten zuzuschreiben sei. Dass die MFK hier ein (zumindest leichtes) Verschulden bejahte und eine (objektiv) bloss geringe Gefahr und damit einen leichten Fall im Sinne von Art. 16a Abs. 1 lit. a SVG verneinte, ist nicht zu beanstanden. 5.3 Nach einer mittelschweren Widerhandlung wird der Führerausweis für mindestens einen Monat entzogen (Art. 16b Abs. 2 lit. a SVG). Die gesetzliche Mindestentzugsdauer darf nicht unterschritten werden (Art. 16 Abs. 3 Satz 2 SVG; vgl. BGE 141 II 220 E. 3.3.3). Wird dem Inhaber der Ausweis auf Probe wegen einer Widerhandlung entzogen, so wird die Probezeit um ein Jahr verlängert (Art. 15a Abs. 3 SVG). 6.1 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 6.2 Der Beschwerde wurde mit Verfügung vom 18. März 2019 die aufschiebende Wirkung erteilt. Für die Einreichung des Führerausweises bei der MFK ist dem Beschwerdeführer deshalb eine neue Frist anzusetzen. Der Führerausweis ist innert 14 Tagen nach Rechtskraft des vorliegenden Urteils bei der MFK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