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VWBES.2018.66 vom 19. November 2018</w:t>
      </w:r>
    </w:p>
    <w:p>
      <w:r>
        <w:t>SO Obergericht, 2018-11-19, DE</w:t>
      </w:r>
    </w:p>
    <w:p>
      <w:r>
        <w:rPr>
          <w:b/>
        </w:rPr>
        <w:t xml:space="preserve">Quelle: </w:t>
      </w:r>
      <w:r>
        <w:t>https://mcp.opencaselaw.ch/entscheid/so_gerichte_VWBES.2018.66</w:t>
      </w:r>
    </w:p>
    <w:p>
      <w:r>
        <w:t>FR: SO_GERICHTE VWBES.2018.66 du 19 novembre 2018</w:t>
      </w:r>
    </w:p>
    <w:p>
      <w:r>
        <w:t>IT: SO_GERICHTE VWBES.2018.66 del 19 novembre 2018</w:t>
      </w:r>
    </w:p>
    <w:p>
      <w:pPr>
        <w:pStyle w:val="Heading2"/>
      </w:pPr>
      <w:r>
        <w:t>Erwägungen</w:t>
      </w:r>
    </w:p>
    <w:p>
      <w:r>
        <w:rPr>
          <w:b/>
        </w:rPr>
        <w:t>E. 8</w:t>
      </w:r>
    </w:p>
    <w:p>
      <w:r>
        <w:t>Die Beschwerde erweist sich somit als unbegründet; sie ist abzuweisen. Bei diesem Ausgang hat der Beschwerdeführer die Kosten des Verfahrens vor Verwaltungsgericht zu bezahlen, die einschliesslich der Entscheidgebühr auf CHF 1'500.00 festzusetzen sind. Parteientschädigung ist bei diesem Ergebnis keine zuzusprechen.</w:t>
      </w:r>
    </w:p>
    <w:p>
      <w:r>
        <w:t>Demnach wirderkannt:</w:t>
      </w:r>
    </w:p>
    <w:p>
      <w:r>
        <w:t>1.Die Beschwerde wird abgewiesen.</w:t>
      </w:r>
    </w:p>
    <w:p>
      <w:r>
        <w:t>2.Die in Ziffer 6. der vorinstanzlichen Verfügung vom 9. November 2017 gesetzte Frist für den Rückbau bzw. die Wiederherstellung des ursprünglichen Zustandes wird neu auf den 30. November 2019 festgesetzt.</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1C_10/2019 vom 15. April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