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VWBES.2018.298 vom 19. Juli 2018</w:t>
      </w:r>
    </w:p>
    <w:p>
      <w:r>
        <w:t>SO Obergericht, 2018-07-19, DE</w:t>
      </w:r>
    </w:p>
    <w:p>
      <w:r>
        <w:rPr>
          <w:b/>
        </w:rPr>
        <w:t xml:space="preserve">Quelle: </w:t>
      </w:r>
      <w:r>
        <w:t>https://mcp.opencaselaw.ch/entscheid/so_gerichte_VWBES.2018.298</w:t>
      </w:r>
    </w:p>
    <w:p>
      <w:r>
        <w:t>FR: SO_GERICHTE VWBES.2018.298 du 19 juillet 2018</w:t>
      </w:r>
    </w:p>
    <w:p>
      <w:r>
        <w:t>IT: SO_GERICHTE VWBES.2018.298 del 19 luglio 2018</w:t>
      </w:r>
    </w:p>
    <w:p>
      <w:pPr>
        <w:pStyle w:val="Heading2"/>
      </w:pPr>
      <w:r>
        <w:t>Erwägungen</w:t>
      </w:r>
    </w:p>
    <w:p>
      <w:r>
        <w:rPr>
          <w:b/>
        </w:rPr>
        <w:t>E. 2</w:t>
      </w:r>
    </w:p>
    <w:p>
      <w:r>
        <w:t>Mit Verfügung vom 19. Juli 2018 entzog die Motorfahrzeugkontrolle des Kantons Solothurn (nachfolgend: MFK), namens des Bau- und Justizdepartements, A.___ den Führerausweis für die Dauer von einem Monat. Sie stufte sein Verhalten als mittelschwere Verkehrswiderhandlung ein.</w:t>
      </w:r>
    </w:p>
    <w:p>
      <w:r>
        <w:t>3.1 Dagegen erhob A.___ (nachfolgend: Beschwerdeführer) am 21. Juli 2018 Beschwerde an das Verwaltungsgericht des Kantons Solothurn und ersuchte um Aufhebung der angefochtenen Verfügung.</w:t>
      </w:r>
    </w:p>
    <w:p>
      <w:r>
        <w:t>3.2 Mit Präsidialverfügung vom 23. Juli 2018 wurde der Beschwerde die aufschiebende Wirkung erteilt.</w:t>
      </w:r>
    </w:p>
    <w:p>
      <w:r>
        <w:rPr>
          <w:b/>
        </w:rPr>
        <w:t>E. 2.1</w:t>
      </w:r>
    </w:p>
    <w:p>
      <w:r>
        <w:t>Die Vorinstanz erwog, der Beschwerdeführer habe bei einer Geschwindigkeit von 60 bis 80 km/h einen Abstand von circa einer Wagenlänge zum vorausfahrenden Fahrzeug eingehalten. Dadurch habe er den erforderlichen Abstand erheblich unterschritten. Die Auffahrkollision sei dann auch die unausweichliche Folge seines Fehlverhaltens gewesen. Das Verschulden müsse daher als eher schwer bewertet werden.</w:t>
      </w:r>
    </w:p>
    <w:p>
      <w:r>
        <w:rPr>
          <w:b/>
        </w:rPr>
        <w:t>E. 2.2</w:t>
      </w:r>
    </w:p>
    <w:p>
      <w:r>
        <w:t>Der Beschwerdeführer entgegnet, die angefochtene Verfügung stütze sich auf seine Aussagen direkt nach dem Unfall. Die Fragen betreffend Geschwindigkeit und Abstand habe er nur mit einer Schätzung beantworten können. Vielleicht sei der Abstand auch grösser und die Geschwindigkeit geringer gewesen. Er fahre seit 15 Jahren unfallfrei Auto. Er habe den vor ihm fahrenden Wagen nur leicht getroffen. Es sei niemand verletzt worden.</w:t>
      </w:r>
    </w:p>
    <w:p>
      <w:r>
        <w:t>3. Nach Art. 16 Abs. 2 SVG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w:t>
      </w:r>
    </w:p>
    <w:p>
      <w:r>
        <w:t>3.1 Im Strafbefehl der Staatsanwaltschaft des Kantons Bern, Region Emmental-Oberaargau, vom 10. Juli 2018, wurde das Verhalten des Beschwerdeführers als einfache Verletzung der Verkehrsregeln im Sinne von Art. 90 Abs. 1 SVG gewürdigt. Die Verwaltungsbehörden sind nur an die Tatsachenfeststellungen gebunden. Sie können für die Administrativmassnahme ihre eigene rechtliche Würdigung des Sachverhalts vornehmen (vgl. BGE 127 II 302 nicht publ. E. 3a; 124 II 103 E. 1c/bb). Es stellt sich vorliegend die Frage, ob die Verwaltungsbehörde zu Recht aufgrund des Sachverhalts von einer mittelschweren Widerhandlung gemäss Art. 16b Abs. 1 lit. a SVG ausgehen durfte.</w:t>
      </w:r>
    </w:p>
    <w:p>
      <w:r>
        <w:t>3.2 Nach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VRV). Diesen Bestimmungen kommt grosse Bedeutung zu, weil sich zahlreiche Unfälle dadurch ereignen, dass ein zweites Fahrzeug nicht genügend Abstand zum ersten einhält (vgl. BGE 126 II 358 E. 1.a mit Hinweis auf 115 IV 248 E. 3a).</w:t>
      </w:r>
    </w:p>
    <w:p>
      <w:r>
        <w:t>3.3Was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GanzenBGE 131 IV 133E. 3.1 mit Hinweisen). Diese Distanz entspricht ungefähr der Anhaltestrecke bei plötzlichem ordnungsgemässem Bremsen und Anhalten des vorausfahrenden Personenwagens (Urteil des BGer 1C_205/2017 vom 7. September 2017 E. 3.1 mit Verweis aufBGE 104 IV 192E. 2b).</w:t>
      </w:r>
    </w:p>
    <w:p>
      <w:r>
        <w:rPr>
          <w:b/>
        </w:rPr>
        <w:t>E. 4</w:t>
      </w:r>
    </w:p>
    <w:p>
      <w:r>
        <w:t>Für die Parteistandpunkte und die Erwägungen der Vorinstanz wird grundsätzlich auf die Akten verwiesen. Soweit erforderlich, ist nachstehend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Wie sich aus den Akten ergibt, ereignete sich der fragliche Auffahrunfall an einem frühen Mittwochmorgen bei trockener Fahrbahn und schöner Witterung auf der Autobahn A1 bei stockendem Kolonnenverkehr. Gegenüber der Polizei gab der Beschwerdeführer an, er sei mit ca. 60 bis 80 km/h gefahren und habe zum vorausfahrenden Fahrzeug gefühlsmässig einen Abstand von ca. einer Wagenlänge gehabt. Dem Strafrichter waren die Angaben des Beschwerdeführers vor der Polizei bekannt. Von diesem Sachverhalt ist grundsätzlich auch im Administrativverfahren auszugehen (vgl. vorne E. II/3.1). Die in der Beschwerde behauptete geringere Geschwindigkeit und der grössere Abstand ergibt sich nicht aus den Akten und stellt deshalb eine blosse Schutzbehauptung dar. Nur ergänzend ist zu bemerken, dass nach der Praxis auch bei Auffahrkollisionen zwischen Personenwagen mit Aufprallgeschwindigkeiten von ca. 10-15 km/h die ernsthafte Gefahr gilt,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Bei solchen Unfällen liegt  auch ohne tatsächlichen Personenschaden  gemäss höchstrichterlicher Rechtsprechung in der Regel ein mittelschwerer Fall mit konkreter Gefährdung des Unfallgegners vor (vgl. Urteil des BGer 1C_575/2012 vom 5. Juli 2013 E. 5.1).</w:t>
      </w:r>
    </w:p>
    <w:p>
      <w:r>
        <w:rPr>
          <w:b/>
        </w:rPr>
        <w:t>E. 4.2</w:t>
      </w:r>
    </w:p>
    <w:p>
      <w:r>
        <w:t>Und selbst wenn von einer nur geringen Gefährdung Dritter ausgegangen würde, handelte es sich trotzdem nicht um eine leichte Widerhandlung. Eine solche setzt zusätzlich ein leichtes Verschulden voraus (vgl. Art. 16a Abs. 1 SVG). Der Beschwerdeführer lenkte sein Fahrzeug vor dem Unfallereignis in stockendem Kolonnenverkehr. In einer solchen Situation ist besondere Aufmerksamkeit geboten, weil der Fluss der Fahrzeugkolonne nicht berechenbar ist. Unerwartete Stockungen im vorderen Teil der Kolonne können sich weit hinten auswirken, sodass das Vorwärtskommen  meist durch ständige Spurwechsel  oft verzögert oder gar verhindert wird. Auch ein langsames Fahrtempo entbindet nicht von der Pflicht, seine volle Aufmerksamkeit dem Verkehr zu widmen (Urteil des BGer 1C_75/2007 vom 13. September 2007 E. 3.2). Es ist davonauszugehen, dass dem Beschwerdeführer bekannt war, welchen Abstand er auf den Vordermann hätte einhalten müssen, und dass er diese Regel in pflichtwidriger Unvorsichtigkeit missachtet hat. Als nachfolgender Fahrzeuglenker hätte er auch beiüberraschendem Bremsen des voranfahrenden Fahrzeugs rechtzeitig anhalten müssen (vgl. Art. 12 Abs. 1 VRV).</w:t>
      </w:r>
    </w:p>
    <w:p>
      <w:r>
        <w:rPr>
          <w:b/>
        </w:rPr>
        <w:t>E. 4.3</w:t>
      </w:r>
    </w:p>
    <w:p>
      <w:r>
        <w:t>Da weder von einer geringen Gefährdung noch von einem leichten Verschulden auszugehen ist, hat die Vorinstanz dem Beschwerdeführer den Führerausweis zu Recht gestützt auf Art. 16b Abs. 1 lit. a SVG wegen einer mittelschweren Widerhandlung gegen die Strassenverkehrsvorschriften für einen Monat entzogen.</w:t>
      </w:r>
    </w:p>
    <w:p>
      <w:r>
        <w:rPr>
          <w:b/>
        </w:rPr>
        <w:t>E. 4.4</w:t>
      </w:r>
    </w:p>
    <w:p>
      <w:r>
        <w:t>Diese einmonatige Entzugsdauer entspricht der gesetzlichen Mindestentzugsdauer (Art. 16b Abs. 2 SVG). Aus diesem Grund können die vom Beschwerdeführer vorgebrachten Argumente betreffend beruflicher Notwendigkeit des Führerausweises keine Berücksichtigung finden.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vom Beschwerdeführer geleisteten Kostenvorschuss in gleicher Höhe verrechnet.</w:t>
      </w:r>
    </w:p>
    <w:p>
      <w:r>
        <w:t>Demnach wirderkannt:</w:t>
      </w:r>
    </w:p>
    <w:p>
      <w:r>
        <w:t>1.Die Beschwerde wird abgewiesen.</w:t>
      </w:r>
    </w:p>
    <w:p>
      <w:r>
        <w:t>2.A.___ hat den Führerausweis innert zehn Tagen nach Rechtskraft des vorliegenden Urteils bei der MFK einzureichen.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