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VWBES.2017.79 vom 13. Februar 2017</w:t>
      </w:r>
    </w:p>
    <w:p>
      <w:r>
        <w:t>SO Obergericht, 2017-02-13, DE</w:t>
      </w:r>
    </w:p>
    <w:p>
      <w:r>
        <w:rPr>
          <w:b/>
        </w:rPr>
        <w:t xml:space="preserve">Quelle: </w:t>
      </w:r>
      <w:r>
        <w:t>https://mcp.opencaselaw.ch/entscheid/so_gerichte_VWBES.2017.79</w:t>
      </w:r>
    </w:p>
    <w:p>
      <w:r>
        <w:t>FR: SO_GERICHTE VWBES.2017.79 du 13 février 2017</w:t>
      </w:r>
    </w:p>
    <w:p>
      <w:r>
        <w:t>IT: SO_GERICHTE VWBES.2017.79 del 13 febbraio 2017</w:t>
      </w:r>
    </w:p>
    <w:p>
      <w:pPr>
        <w:pStyle w:val="Heading2"/>
      </w:pPr>
      <w:r>
        <w:t>Erwägungen</w:t>
      </w:r>
    </w:p>
    <w:p>
      <w:r>
        <w:rPr>
          <w:b/>
        </w:rPr>
        <w:t>E. 1</w:t>
      </w:r>
    </w:p>
    <w:p>
      <w:r>
        <w:t>Am 15. August 2016, 17:52 Uhr, fuhr A.___ als Lenker eines Lieferwagens in [Ort 1] auf der [X-Strasse] in Fahrtrichtung Hauptstrasse, wobei er bei der dortigen Einmündung korrekt beim Stoppsignal anhielt und nach links und nach rechts blickte. Als er in der Folge seine Fahrt fortsetzte und nach links in die Hauptstrasse Richtung [Ort 2] einzubiegen beabsichtigte, kam es zu einer Kollision mit einem sich von rechts nähernden und vortrittsberechtigten Personenwagen.</w:t>
      </w:r>
    </w:p>
    <w:p>
      <w:r>
        <w:rPr>
          <w:b/>
        </w:rPr>
        <w:t>E. 2</w:t>
      </w:r>
    </w:p>
    <w:p>
      <w:r>
        <w:t>Die Staatsanwaltschaft des Kantons Basel-Landschaft verurteilte A.___ deshalb mit rechtskräftigem Strafbefehl vom 31. Januar 2017 wegen einer einfachen Verletzung der Verkehrsregeln i.S.v. Art. 90 Abs. 1 des Strassenverkehrsgesetzes (SVG, SR 741.01).</w:t>
      </w:r>
    </w:p>
    <w:p>
      <w:r>
        <w:rPr>
          <w:b/>
        </w:rPr>
        <w:t>E. 2.1</w:t>
      </w:r>
    </w:p>
    <w:p>
      <w:r>
        <w:t>Nach der Grundregel des Art. 26 Abs. 1 des Strassenverkehrsgesetzes (SVG, SR 741.01) müssen sich alle im Verkehr so verhalten, dass andere in der ordnungsgemässen Benützung der Strasse weder behindert noch gefährdet werden. Diese Vorschrift wird durch die einzelnen Verkehrsregeln konkretisiert.</w:t>
      </w:r>
    </w:p>
    <w:p>
      <w:r>
        <w:rPr>
          <w:b/>
        </w:rPr>
        <w:t>E. 2.2</w:t>
      </w:r>
    </w:p>
    <w:p>
      <w:r>
        <w:t>Laut Art. 36 Abs. 2 SVG hat auf Strassenverzweigungen das von rechts kommende Fahrzeug den Vortritt. Die Vortrittsregel wird durch Art. 14 Abs. 1 VRV konkretisiert, wonach der Vortrittsbelastete den Vortrittsberechtigten in seiner Fahrt nicht behindern darf (Art. 14 Abs. 1 Verkehrsregelnverordnung [VRV, SR 741.11]) .</w:t>
      </w:r>
    </w:p>
    <w:p>
      <w:r>
        <w:rPr>
          <w:b/>
        </w:rPr>
        <w:t>E. 2.3</w:t>
      </w:r>
    </w:p>
    <w:p>
      <w:r>
        <w:t>Das Mass der Sorgfalt, die ein Wartepflichtiger anzuwenden hat, richtet sich nach den Umständen des Einzelfalls (Philippe Weissenberger in: Kommentar zum Strassenverkehrsgesetz, Zürich/St. Gallen 2015, Art. 36 N 38).</w:t>
      </w:r>
    </w:p>
    <w:p>
      <w:r>
        <w:rPr>
          <w:b/>
        </w:rPr>
        <w:t>E. 2.4</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des BGer 6A.16/2006 E. 2.1.1 vom 6. April 2006, in: JdT 2006 I S. 442; Botschaft vom 31. März 1999 zur Änderung des Strassenverkehrsgesetzes, BBl 1999 4487).</w:t>
      </w:r>
    </w:p>
    <w:p>
      <w:r>
        <w:rPr>
          <w:b/>
        </w:rPr>
        <w:t>E. 3</w:t>
      </w:r>
    </w:p>
    <w:p>
      <w:r>
        <w:t>Die Motorfahrzeugkontrolle des Kantons Solothurn (nachfolgend: MFK) entzog A.___, namens des Bau- und Justizdepartements (nachfolgend: BJD), den Führerausweis mit Verfügung vom 13. Februar 2017 für die Dauer eines Monats. Sie stufte sein Verhalten als mittelschwere Verkehrswiderhandlung ein. 4.1 Dagegen erhob A.___ (nachfolgend: Beschwerdeführer) am 17. Februar 2017 Beschwerde an das Verwaltungsgericht des Kantons Solothurn und verlangte, es sei die Verfügung vom 13. Februar 2017 aufzuheben und die Verkehrswiderhandlung vom 15. August 2016 sei analog dem Strafbefehl als leicht einzustufen. 4.2 Mit Präsidialverfügung vom 22. Februar 2017 wurde der Beschwerde die aufschiebende Wirkung erteilt.</w:t>
      </w:r>
    </w:p>
    <w:p>
      <w:r>
        <w:rPr>
          <w:b/>
        </w:rPr>
        <w:t>E. 3.1</w:t>
      </w:r>
    </w:p>
    <w:p>
      <w:r>
        <w:t>Die MFK wertete das Verhalten des Beschwerdeführers als mittelschwere Widerhandlung gegen die Strassenverkehrsvorschriften gemäss Art. 16b Abs. 1 lit. a SVG. Die Staatsanwaltschaft qualifizierte das Verhalten des Beschwerdeführers als leichte Verkehrsregelverletzung i.S.v. Art. 90 Abs. 1 SVG.</w:t>
      </w:r>
    </w:p>
    <w:p>
      <w:r>
        <w:rPr>
          <w:b/>
        </w:rPr>
        <w:t>E. 3.2</w:t>
      </w:r>
    </w:p>
    <w:p>
      <w:r>
        <w:t>Der Beschwerdeführer bringt vor, die Verkehrsregelverletzung sei im Administrativverfahren analog dem Strafverfahren als leicht zu qualifizieren.</w:t>
      </w:r>
    </w:p>
    <w:p>
      <w:r>
        <w:rPr>
          <w:b/>
        </w:rPr>
        <w:t>E. 3.3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6A.81/2006 vom 22. Dezember 2006 E. 2.3).</w:t>
      </w:r>
    </w:p>
    <w:p>
      <w:r>
        <w:rPr>
          <w:b/>
        </w:rPr>
        <w:t>E. 3.4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 4.1 Strittig und zu klären ist somit, ob der Beschwerdeführer eine leichte oder eine mittelschwere Widerhandlung gegen die Strassenverkehrsvorschriften begangen hat. 4.2 Nach dem rechtskräftigen Strafbefehl vom 31. Januar 2017 steht fest, dass der Beschwerdeführer vortrittsbelastet war und das Vortrittsrecht des Unfallbeteiligten verletzte, als er mit seinem Lieferwagen, von einer Stoppstrasse herkommend, links in die Hauptstrasse einbog. 4.3 Der Beschwerdeführer macht geltend, er habe im Moment des Abbiegens kein Auto gesehen. 4.4 Bei der heutigen Verkehrsdichte genügt es im Allgemeinen nicht, bloss unmittelbar vor dem Anfahren zu beobachten, ob die Strasse frei ist, sondern die Beobachtung muss auch noch während des Einbiegens fortgesetzt werden, damit vor einem überraschend auftauchenden Vortrittsberechtigten noch angehalten oder ihm oder auch einem erkennbar verkehrsregelwidrig sich verhaltenden Verkehrsteilnehmer durch rasche Beschleunigung die ungestörte Weiterfahrt ermöglicht werden kann ( Philippe Weissenberger, a.a.O., Art. 36 N 37 mit Hinweisen). 4.5 Gemäss Polizeirapport näherte sich der unfallbeteiligte Lenker mit erlaubter Geschwindigkeit von 50 km/h bzw. mit 13.88 m/s. Sein Auto wurde vom Beschwerdeführer seitlich erfasst. Die Sichtverhältnisse zum Zeitpunkt des Unfalls waren gut, die Strasse trocken. Es herrschte reger Verkehr. Die Sicht auf die Strasse war nicht verdeckt (siehe Polizeirapport mit Fotodokumentation). Bei pflichtgemässer Sorgfalt – welche bei Verzweigungen in besonderem Masse verlangt wird – hätte der Beschwerdeführer den vortrittsberechtigten Unfallgegner unter den gegebenen Umständen sehen müssen. Der Beschwerdeführer hat dem Verkehr und damit allfälligen vortrittsberechtigten Verkehrsteilnehmern nicht die gebotene Aufmerksamkeit gewidmet. Bei den Regeln über den Vortritt handelt es sich um Grundregeln des Verkehrs, deren strikte Beachtung eine unabdingbare Voraussetzung für einen geordneten Verkehrsablauf ist. Mit der Missachtung des Vortrittsrechts hat der Beschwerdeführer die Gefahr einer Kollision geschaffen, die sich dann auch konkretisiert hat. Der verursachte Unfall zog zwar «nur» Sachschaden nach sich, zeigt aber, dass im Fall einer Realisierung der Gefährdung mit Unfällen zu rechnen ist, die durchaus auch geeignet sind, nebst Sach- auch Personenschäden zu verursachen. Dass sich kein schwererer Unfall ereignete, ist glücklichen Umständen zu verdanken. Insgesamt steht damit fest, dass der Beschwerdeführer durch Nichtbeachtung des Vortrittsrechts eine konkrete Gefahr für die Sicherheit anderer, insbesondere des unfallbeteiligten Lenkers geschaffen hat, die nicht mehr als gering bezeichnet werden kann. Das Verhalten des Beschwerdeführers wurde unter diesen Umständen von der Vorinstanz zu Recht nicht mehr als leicht eingestuft. 4.6 Nach Art. 16b Abs. 2 lit. a SVG ist der Führerausweis bei einer mittelschweren Widerhandlung mindestens für einen Monat zu entziehen. Bei der Festsetzung der Dauer des Führerausweises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rPr>
          <w:b/>
        </w:rPr>
        <w:t>E. 5</w:t>
      </w:r>
    </w:p>
    <w:p>
      <w:r>
        <w:t>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rPr>
          <w:b/>
        </w:rPr>
        <w:t>E. 36</w:t>
      </w:r>
    </w:p>
    <w:p>
      <w:r>
        <w:t>N 37 mit Hinweisen).</w:t>
      </w:r>
    </w:p>
    <w:p>
      <w:r>
        <w:t>4.5 Gemäss Polizeirapport näherte sich der unfallbeteiligte Lenker mit erlaubter Geschwindigkeit von 50 km/h bzw. mit 13.88 m/s. Sein Auto wurde vom Beschwerdeführer seitlich erfasst. Die Sichtverhältnisse zum Zeitpunkt des Unfalls waren gut, die Strasse trocken. Es herrschte reger Verkehr. Die Sicht auf die Strasse war nicht verdeckt (siehe Polizeirapport mit Fotodokumentation). Bei pflichtgemässer Sorgfalt  welche bei Verzweigungen in besonderem Masse verlangt wird  hätte der Beschwerdeführer den vortrittsberechtigten Unfallgegner unter den gegebenen Umständen sehen müssen. Der Beschwerdeführer hat dem Verkehr und damit allfälligen vortrittsberechtigten Verkehrsteilnehmern nicht die gebotene Aufmerksamkeit gewidmet. Bei den Regeln über den Vortritt handelt es sich um Grundregeln des Verkehrs, deren strikte Beachtung eine unabdingbare Voraussetzung für einen geordneten Verkehrsablauf ist. Mit der Missachtung des Vortrittsrechts hat der Beschwerdeführer die Gefahr einer Kollision geschaffen, die sich dann auch konkretisiert hat. Der verursachte Unfall zog zwar «nur» Sachschaden nach sich, zeigt aber, dass im Fall einer Realisierung der Gefährdung mit Unfällen zu rechnen ist, die durchaus auch geeignet sind, nebst Sach- auch Personenschäden zu verursachen. Dass sich kein schwererer Unfall ereignete, ist glücklichen Umständen zu verdanken. Insgesamt steht damit fest, dass der Beschwerdeführer durch Nichtbeachtung des Vortrittsrechts eine konkrete Gefahr für die Sicherheit anderer, insbesondere des unfallbeteiligten Lenkers geschaffen hat, die nicht mehr als gering bezeichnet werden kann.Das Verhalten des Beschwerdeführers wurde unter diesen Umständen von der Vorinstanz zu Recht nicht mehr als leicht eingestuft.</w:t>
      </w:r>
    </w:p>
    <w:p>
      <w:r>
        <w:t>4.6 Nach Art. 16b Abs. 2 lit. a SVG ist der Führerausweis bei einer mittelschweren Widerhandlung mindestens für einen Monat zu entziehen. Bei der Festsetzung der Dauer des Führerausweises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t>5. 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