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VWBES.2017.358 vom 13. September 2017</w:t>
      </w:r>
    </w:p>
    <w:p>
      <w:r>
        <w:t>SO Obergericht, 2017-09-13, DE</w:t>
      </w:r>
    </w:p>
    <w:p>
      <w:r>
        <w:rPr>
          <w:b/>
        </w:rPr>
        <w:t xml:space="preserve">Quelle: </w:t>
      </w:r>
      <w:r>
        <w:t>https://mcp.opencaselaw.ch/entscheid/so_gerichte_VWBES.2017.358</w:t>
      </w:r>
    </w:p>
    <w:p>
      <w:r>
        <w:t>FR: SO_GERICHTE VWBES.2017.358 du 13 septembre 2017</w:t>
      </w:r>
    </w:p>
    <w:p>
      <w:r>
        <w:t>IT: SO_GERICHTE VWBES.2017.358 del 13 settembre 2017</w:t>
      </w:r>
    </w:p>
    <w:p>
      <w:pPr>
        <w:pStyle w:val="Heading2"/>
      </w:pPr>
      <w:r>
        <w:t>Erwägungen</w:t>
      </w:r>
    </w:p>
    <w:p>
      <w:r>
        <w:rPr>
          <w:b/>
        </w:rPr>
        <w:t>E. 1</w:t>
      </w:r>
    </w:p>
    <w:p>
      <w:r>
        <w:t>Am 30. März 2017, 16:48 Uhr, fuhr A.___ als Lenker eines Personenwagens bei starkem Verkehrsaufkommen in [Ort] auf der Autobahn A2 in Fahrtrichtung Bern/Luzern. Auf Höhe der Autobahneinfahrt [...] fuhr A.___ rechts am stockenden Verkehr vorbei über eine Sperrfläche, worauf er auf den Beschleunigungsstreifen der Autobahneinfahrt wechselte. Am Ende des Beschleunigungsstreifens fuhr A.___ erneut (auf einer Strecke von ca. 70 Metern) über die sich vor der Autobahnraststätte [...] befindenden Sperrfläche, wobei er wiederum die Fahrzeuge, welche aufgrund des stockenden Verkehrs auf der Normalspur nur langsam fahren konnten, rechts überholte.</w:t>
      </w:r>
    </w:p>
    <w:p>
      <w:r>
        <w:rPr>
          <w:b/>
        </w:rPr>
        <w:t>E. 2</w:t>
      </w:r>
    </w:p>
    <w:p>
      <w:r>
        <w:t>Die Staatsanwaltschaft Basel-Landschaft verurteilte A.___ deshalb mit rechtskräftigem Strafbefehl vom 22. Juni 2017 wegen einer einfachen Verletzung der Verkehrsregeln (Art. 90 Abs. 1 des Strassenverkehrsgesetzes [SVG, SR 741.01]).</w:t>
      </w:r>
    </w:p>
    <w:p>
      <w:r>
        <w:rPr>
          <w:b/>
        </w:rPr>
        <w:t>E. 2.1</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des BGer 6A.16/2006 E. 2.1.1 vom 6. April 2006, in: JdT 2006 I S. 442; Botschaft vom 31. März 1999 zur Änderung des Strassenverkehrsgesetzes, BBl 1999 4487).</w:t>
      </w:r>
    </w:p>
    <w:p>
      <w:r>
        <w:rPr>
          <w:b/>
        </w:rPr>
        <w:t>E. 2.2</w:t>
      </w:r>
    </w:p>
    <w:p>
      <w:r>
        <w:t>Die MFK wertete das Verhalten des Beschwerdeführers als mittelschwere Widerhandlung gegen die Strassenverkehrsvorschriften gemäss Art. 16b Abs. 1 lit. a SVG. Die Staatsanwaltschaft qualifizierte das Verhalten des Beschwerdeführers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6A.81/2006 vom 22. Dezember 2006 E. 2.3).</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Ziff. 1 SVG schliesst die Annahme einer mittelschweren Widerhandlung im Administrativverfahren nicht aus.</w:t>
      </w:r>
    </w:p>
    <w:p>
      <w:r>
        <w:rPr>
          <w:b/>
        </w:rPr>
        <w:t>E. 2.5</w:t>
      </w:r>
    </w:p>
    <w:p>
      <w:r>
        <w:t>Strittig und zu klären ist, ob die Vorinstanz das Verhalten des Beschwerdeführers zu Recht als mittelschwere Widerhandlung gegen die Strassenverkehrsvorschriften gewertet hat und ihm den Führerausweis deshalb für zwei Monate entzogen hat.</w:t>
      </w:r>
    </w:p>
    <w:p>
      <w:r>
        <w:rPr>
          <w:b/>
        </w:rPr>
        <w:t>E. 3</w:t>
      </w:r>
    </w:p>
    <w:p>
      <w:r>
        <w:t>Die Motorfahrzeugkontrolle des Kantons Solothurn (nachfolgend: MFK) entzog A.___, namens des Bau- und Justizdepartements (nachfolgend: BJD), den Führerausweis mit Verfügung vom 13. September 2017 für die Dauer von zwei Monaten. Sie stufte sein Verhalten als mittelschwere Verkehrswiderhandlung ein.</w:t>
      </w:r>
    </w:p>
    <w:p>
      <w:r>
        <w:t>4.1 Dagegen erhob A.___ (nachfolgend: Beschwerdeführer) am 18. September 2017 (Postaufgabe) Beschwerde an das Verwaltungsgericht des Kantons Solothurn und verlangte sinngemäss die Aufhebung des angefochtenen Entscheids.</w:t>
      </w:r>
    </w:p>
    <w:p>
      <w:r>
        <w:t>4.2 Mit Präsidialverfügung vom 21. September 2017 wurde der Beschwerde die aufschiebende Wirkung erteilt.</w:t>
      </w:r>
    </w:p>
    <w:p>
      <w:r>
        <w:t>4.3 Mit Stellungnahme vom 9. Oktober 2017 schloss die MFK auf Beschwerdeabweisung.</w:t>
      </w:r>
    </w:p>
    <w:p>
      <w:r>
        <w:rPr>
          <w:b/>
        </w:rPr>
        <w:t>E. 3.1</w:t>
      </w:r>
    </w:p>
    <w:p>
      <w:r>
        <w:t>Das Verbot des Rechtsüberholens auf Autobahnen (vgl. Art. 35 Abs. 1 SVG) ist nach der ständigen Praxis des Bundesgerichts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(vgl. Urteil des BGer 6B_457/2014 vom 13. Februar 2015 E. 2.4). Die Reaktionen des überholten Fahrzeuglenkers können von einfachem Erschrecken bis zu ungeplanten Fahrmanövern reichen. Das Rechtsüberholen auf Autobahnen, wo hohe Geschwindigkeiten gefahren werden, führt damit zu einer erhöhten abstrakten Gefährdung der Verkehrsteilnehmer (BGE 128 II 285 E. 1.4; 126 IV 192 E. 3 mit Hinweis; Urteile des BGer 1C_424/2008 vom 31. März 2009 E. 4.2; 6B_19/2011 vom 23. Mai 2011 E. 1; 6B_959/2009 vom 23. Februar 2010 E. 3.2 f.). Die verursachte Gefahr ist mithin nicht gering, sodass die Annahme einer leichten Widerhandlung im Sinne von Art. 16a Abs. 1 lit. a SVG ausgeschlossen ist. Vielmehr wiegt der Verstoss objektiv schwer, weshalb in aller Regel eine schwere Widerhandlung im Sinne von Art. 16c Abs. 1 lit. a SVG vorliegt (vgl. zum Ganzen Philippe Weissenberger, Kommentar Strassenverkehrsgesetz, 2. Aufl. 2015, Art. 16a N 11, Art. 16c N 23 und Art. 35 N 11). Eine Ausnahme hat das Bundesgericht in einem Fall des Rechtsüberholens einer Fahrzeugkolonne auf dem Pannenstreifen mit geringer Geschwindigkeit (zwischen 10 und 30 km/h) angenommen und dies als bloss mittelschwere Widerhandlung nach Art. 16b Abs. 1 lit. a SVG qualifiziert (vgl. BGE 133 II 58 E. 5; Weissenberger, a.a.O., Art. 16b N 14).</w:t>
      </w:r>
    </w:p>
    <w:p>
      <w:r>
        <w:rPr>
          <w:b/>
        </w:rPr>
        <w:t>E. 3.2</w:t>
      </w:r>
    </w:p>
    <w:p>
      <w:r>
        <w:t>Die obigen Überlegungen gelten auch für den hier zu beurteilenden Sachverhalt, auch wenn es vorliegend nicht um das verbotene Rechtsüberholen durch Ausschwenken und Wiedereinbiegen geht (Art. 8 Abs. 3Verkehrsregelnverordnung [VRV, SR 741.11]). Tatsächlich liegt ein Rechtsüberholen zum Zwecke des schnelleren Fortkommens mit einer die korrekt fahrenden Lenker gefährdenden Regelverletzung vor. Das Fahren bei einer durch erhöhtes Verkehrsaufkommen verminderten Geschwindigkeit erfordert von allen Verkehrsteilnehmern eine erhöhte Disziplin, vermehrte Aufmerksamkeit sowie Rücksichtnahme (BGE 126 IV 192 E. 3). Die Aufmerksamkeit ist mehr gefordert als bei flüssigem Verkehr. Schwenkt unter diesen Umständen ein Fahrzeug aus und überholt auf dem Pannenstreifen  oder wie im vorliegenden Fall auf einer Sperrfläche , bewirkt dies eine unklare Verkehrslage (Art. 26 Abs. 2 SVG) sowie eine frustrierte und gereizte Stimmung unter den Verkehrsteilnehmern und provoziert zur Nachahmung. Auch wenn es sich im vorliegenden Fall nicht um das «klassische» Rechtsüberholen mit Ausschwenken und Wiedereinbiegen handelt, hat der Beschwerdeführer eine elementare Verkehrsregel, die unbedingt beachtet werden muss (BGE 133 II 58 E. 5.2), missachtet und damit die Verkehrssicherheit ernstlich gefährdet. Es ist somit nicht zu beanstanden, dass die Vorinstanz von einer mittelschweren Verkehrswiderhandlung ausgegangen ist.</w:t>
      </w:r>
    </w:p>
    <w:p>
      <w:r>
        <w:t>4.1 Der Beschwerdeführer macht geltend, es habe für ihn im Tatzeitpunkt eine gesundheitliche Notsituation bestanden. Er habe dringendst die Toilette auf der Raststätte aufsuchen müssen. Nur aus diesem Grund habe er sich so verhalten.</w:t>
      </w:r>
    </w:p>
    <w:p>
      <w:r>
        <w:t>4.2 In der Sache beruft er sich damit auf einen Notstand gemäss Art. 17 f.Schweizerisches Strafgesetzbuch(StGB, SR 311.0). Die Bestimmungen zum Notstand gemäss Art. 17 f. StGB sind beim Warnungsentzug sinngemäss anwendbar (Urteil des BGer 1C_345/2012 vom 17. Januar 2013 E. 2.1; 1C_4/2007 vom 4. September 2007 E. 2.2; 6A.28/2003 vom 11. Juli 2003 E. 2.2; je mit Hinweisen). Nach Art. 17 StGB handelt rechtmässig, wer eine mit Strafe bedrohte Tat begeht, um ein eigenes oder das Rechtsgut einer anderen Person aus einer unmittelbaren, nicht anders abwendbaren Gefahr zu retten, wenn er dadurch höherwertige Interessen wahrt.</w:t>
      </w:r>
    </w:p>
    <w:p>
      <w:r>
        <w:t>4.3 Ob die mit Arztzeugnis vom 8. November 2013 beschriebene chronische Prostatitis noch besteht, kann offen bleiben. In der zu beurteilenden, für den Lenker zwar unangenehmen Situation, bestand keine notstandsfähige Lage. Das Interesse der übrigen Verkehrsteilnehmer, sicher am Strassenverkehr teilnehmen zu können, ist höher zu gewichten als das Interesse des Beschwerdeführers. Entsprechend hat das Bundesgericht einen Notstand im Falle einer Durchfallerkrankung verneint, wenn das Ziel darin bestehe, schnellstmöglich eine Toilette aufzusuchen (Urteil des BGer 1C_4/2007 vom 4. September 2007). Auch vorliegend ist aufgrund des Gesagten ein Notstand zu verneinen.</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5.1</w:t>
      </w:r>
    </w:p>
    <w:p>
      <w:r>
        <w:t>Der Führerausweis ist dem Beschwerdeführer daher gestützt auf Art. 16b Abs. 1 lit. a SVG zu entziehen.</w:t>
      </w:r>
    </w:p>
    <w:p>
      <w:r>
        <w:rPr>
          <w:b/>
        </w:rPr>
        <w:t>E. 5.2</w:t>
      </w:r>
    </w:p>
    <w:p>
      <w:r>
        <w:t>Gemäss Art. 16b Abs. 2 lit. a SVG wird bei einer mittelschweren Widerhandlung wie hier der Führerausweis für mindestens einen Monat entzogen.</w:t>
      </w:r>
    </w:p>
    <w:p>
      <w:r>
        <w:rPr>
          <w:b/>
        </w:rPr>
        <w:t>E. 5.3</w:t>
      </w:r>
    </w:p>
    <w:p>
      <w:r>
        <w:t>Bei der Festsetzung der Dauer des Führerausweisentzuges sind gemäss Art. 16 Abs. 3 SVG die Umstände des Einzelfalles zu berücksichtigen, namentlich die Gefährdung der Verkehrsteilnehmer, das Verschulden, der Leumund als Motorfahrzeugführer sowie die berufliche Notwendigkeit, ein Motorfahrzeug zu führen. Die Mindestentzugsdauer darf nicht unterschritten werden.</w:t>
      </w:r>
    </w:p>
    <w:p>
      <w:r>
        <w:rPr>
          <w:b/>
        </w:rPr>
        <w:t>E. 5.4</w:t>
      </w:r>
    </w:p>
    <w:p>
      <w:r>
        <w:t>Die Administrativbehörde erhöhte den Führerausweisentzug gegenüber der Mindestentzugsdauer um einen Monat auf zwei Monate. Begründet wurde diese Erhöhung mit dem stark getrübten Fahrleumund des Beschwerdeführers sowie der durch sein Verhalten hervorgerufenen Gefährdung anderer Verkehrsteilnehmer. Dagegen machte der Beschwerdeführer geltend, dass er aus beruflichen Gründen auf ein Auto angewiesen sei.</w:t>
      </w:r>
    </w:p>
    <w:p>
      <w:r>
        <w:rPr>
          <w:b/>
        </w:rPr>
        <w:t>E. 5.5</w:t>
      </w:r>
    </w:p>
    <w:p>
      <w:r>
        <w:t>Aus den Akten der Administrativbehörde ergehen zulasten des Beschwerdeführers in den Jahren 2000 bis 2015 insgesamt zwölf Einträge. Zuletzt wurde dem Beschwerdeführer der Führerausweis mit Verfügung vom 17. September 2015 für die Dauer von einem Monat entzogen (5. Oktober 2015 bis 4. November 2015). Der Fahrleumund des Beschwerdeführers muss als stark getrübt gelten.</w:t>
      </w:r>
    </w:p>
    <w:p>
      <w:r>
        <w:rPr>
          <w:b/>
        </w:rPr>
        <w:t>E. 5.6</w:t>
      </w:r>
    </w:p>
    <w:p>
      <w:r>
        <w:t>Aufgrund der mittelschweren Widerhandlungen und des stark getrübten Fahrleumunds des Beschwerdeführers ist eine Entzugsdauer von zwei Monaten nicht zu beanstanden. Auch eine berufliche Notwendigkeit ein Motorfahrzeug zu führen, bewirkt unter den vorliegenden Umständen keine Reduktion der von der MFK verfügten Entzugsdauer.</w:t>
      </w:r>
    </w:p>
    <w:p>
      <w:r>
        <w:rPr>
          <w:b/>
        </w:rPr>
        <w:t>E. 6</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