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VWBES.2017.210 vom 1. Juni 2017</w:t>
      </w:r>
    </w:p>
    <w:p>
      <w:r>
        <w:t>SO Obergericht, 2017-06-01, DE</w:t>
      </w:r>
    </w:p>
    <w:p>
      <w:r>
        <w:rPr>
          <w:b/>
        </w:rPr>
        <w:t xml:space="preserve">Quelle: </w:t>
      </w:r>
      <w:r>
        <w:t>https://mcp.opencaselaw.ch/entscheid/so_gerichte_VWBES.2017.210</w:t>
      </w:r>
    </w:p>
    <w:p>
      <w:r>
        <w:t>FR: SO_GERICHTE VWBES.2017.210 du 1 juin 2017</w:t>
      </w:r>
    </w:p>
    <w:p>
      <w:r>
        <w:t>IT: SO_GERICHTE VWBES.2017.210 del 1 giugno 2017</w:t>
      </w:r>
    </w:p>
    <w:p>
      <w:pPr>
        <w:pStyle w:val="Heading2"/>
      </w:pPr>
      <w:r>
        <w:t>Erwägungen</w:t>
      </w:r>
    </w:p>
    <w:p>
      <w:r>
        <w:rPr>
          <w:b/>
        </w:rPr>
        <w:t>E. 2</w:t>
      </w:r>
    </w:p>
    <w:p>
      <w:r>
        <w:t>Nach Gewährung des rechtlichen Gehörs verfügte die Motorfahrzeugkontrolle des Kantons Solothurn (nachfolgend: MFK) am</w:t>
      </w:r>
    </w:p>
    <w:p>
      <w:r>
        <w:rPr>
          <w:b/>
        </w:rPr>
        <w:t>E. 2.1</w:t>
      </w:r>
    </w:p>
    <w:p>
      <w:r>
        <w:t>Der Beschwerdeführer macht eine Verletzung des Anspruchs auf rechtliches Gehör geltend und rügt, die angefochtene Verfügung sei ungenügend begründet. Aufgrund des formellen Charakters des Gehörsanspruchs ist diese Rüge vorab zu prüfen (vgl. Urteil des BGer 4A_453/2016 vom 16. Februar 2017 E. 2.4; 1C_492/2011 vom 23. Februar 2012 E. 2).</w:t>
      </w:r>
    </w:p>
    <w:p>
      <w:r>
        <w:rPr>
          <w:b/>
        </w:rPr>
        <w:t>E. 2.2</w:t>
      </w:r>
    </w:p>
    <w:p>
      <w:r>
        <w:t>Das rechtliche Gehör nachArt. 29 Abs. 2 Schweizerische Bundesverfassung (BV, SR 101)dient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t>2.3Inwiefern der angefochtene Entscheid diesen Minimalanforderungen nicht genügen würde, ist nicht ersichtlich. Auch wenn die Begründung der Vorinstanz kurz ist, so geht daraus doch ohne Weiteres hervor, aus welchen Gründen der vorsorgliche Sicherungsentzug des Führerausweises des Beschwerdeführers bestätigt und der Beschwerdeführer einer verkehrsmedizinischen Untersuchung zugewiesen worden ist, nämlich weil die MFK gestützt auf die Ergebnisse der forensisch-toxikologischen Untersuchungernsthafte Zweifel an der Fahreignung des Beschwerdeführers hat.Wie es sich damit verhält, ist keine Frage der Verletzung des rechtlichen Gehörs, sondern eine solche der Anwendung des materiellen Rechts.Die Verfügung der Vorinstanz wurde denn auch so abgefasst, dass der Beschwerde­führer, der nota bene anwaltlich vertreten ist, diese in Kenntnis der entscheid­relevanten Argumente ans Verwaltungsgericht weiterziehen konnte.</w:t>
      </w:r>
    </w:p>
    <w:p>
      <w:r>
        <w:t>3. Der Beschwerdeführer ersucht um Parteibefragung. Dies würde die Durchführung einer öffentlichen Verhandlung voraussetzen, was vom Beschwerdeführer nicht verlangt wurde. Gemäss § 52 Abs. 1 VRG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ausführlich aufgezeigt. Es ist nicht ersichtlich, welche zusätzlichen relevanten Erkenntnisse das Gericht durch eine Parteibefragung anlässlich einer Verhandlung gewinnen könnte. Der Antrag ist deshalb abzuweisen.</w:t>
      </w:r>
    </w:p>
    <w:p>
      <w:r>
        <w:t>4. Strittig und zu klären ist, ob die MFK den vorsorglichen Führerausweisentzug zu Recht bestätigte und den Beschwerdeführer einer verkehrsmedizinischen Kontrolluntersuchung zuwies.</w:t>
      </w:r>
    </w:p>
    <w:p>
      <w:r>
        <w:rPr>
          <w:b/>
        </w:rPr>
        <w:t>E. 2.3</w:t>
      </w:r>
    </w:p>
    <w:p>
      <w:r>
        <w:t>Inwiefern der angefochtene Entscheid diesen Minimalanforderungen nicht genügen würde, ist nicht ersichtlich. Auch wenn die Begründung der Vorinstanz kurz ist, so geht daraus doch ohne Weiteres hervor, aus welchen Gründen der vorsorgliche Sicherungsentzug des Führerausweises des Beschwerdeführers bestätigt und der Beschwerdeführer einer verkehrsmedizinischen Untersuchung zugewiesen worden ist, nämlich weil die MFK gestützt auf die Ergebnisse der forensisch-toxikologischen Untersuchung ernsthafte Zweifel an der Fahreignung des Beschwerdeführers hat. Wie es sich damit verhält, ist keine Frage der Verletzung des rechtlichen Gehörs, sondern eine solche der Anwendung des materiellen Rechts. Die Verfügung der Vorinstanz wurde denn auch so abgefasst, dass der Beschwerde­führer, der nota bene anwaltlich vertreten ist, diese in Kenntnis der entscheid­relevanten Argumente ans Verwaltungsgericht weiterziehen konnte. 3. Der Beschwerdeführer ersucht um Parteibefragung. Dies würde die Durchführung einer öffentlichen Verhandlung voraussetzen, was vom Beschwerdeführer nicht verlangt wurde. Gemäss § 52 Abs. 1 VRG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ausführlich aufgezeigt. Es ist nicht ersichtlich, welche zusätzlichen relevanten Erkenntnisse das Gericht durch eine Parteibefragung anlässlich einer Verhandlung gewinnen könnte. Der Antrag ist deshalb abzuweisen. 4. Strittig und zu klären ist, ob die MFK den vorsorglichen Führerausweisentzug zu Recht bestätigte und den Beschwerdeführer einer verkehrsmedizinischen Kontrolluntersuchung zuwies.</w:t>
      </w:r>
    </w:p>
    <w:p>
      <w:r>
        <w:rPr>
          <w:b/>
        </w:rPr>
        <w:t>E. 5</w:t>
      </w:r>
    </w:p>
    <w:p>
      <w:r>
        <w:t>Mai 2017 einen vorsorglichen Führerausweisentzug, welchen sie mit Verfügung vom 1. Juni 2017 bestätigte. Zudem wurde A.___ einer verkehrsmedizinischen Untersuchung zuge­wiesen.</w:t>
      </w:r>
    </w:p>
    <w:p>
      <w:r>
        <w:t>3.1 Dagegen liess A.___ (nachfolgend: Beschwerdeführer) am 12. Juni 2017 Beschwerde an das Verwaltungsgericht des Kantons Solothurn erheben mit den folgenden Rechtsbegehren:</w:t>
      </w:r>
    </w:p>
    <w:p>
      <w:r>
        <w:t>3.2 Die MFK schloss mit Stellungnahme vom 3. Juli 2017 auf Beschwerdeabweisung.</w:t>
      </w:r>
    </w:p>
    <w:p>
      <w:r>
        <w:t>3.3 Mit Präsidialverfügung vom 5. Juli 2017 wurde der Beschwerde in dem Sinne aufschiebende Wirkung erteilt, als dass sich der Beschwerdeführer nicht zur verkehrsmedizinischen Untersuchung anzumelden brauche.</w:t>
      </w:r>
    </w:p>
    <w:p>
      <w:r>
        <w:t>II.</w:t>
      </w:r>
    </w:p>
    <w:p>
      <w:r>
        <w:t>1. Beim angefochtenen Entscheid handelt es sich um einen Zwischenentscheid. Da dieser für den Beschwerdeführer von erheblichem Nachteil ist - der Beschwerdeführer ist während der Dauer des Verfahrens nicht fahrberechtigt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5.1</w:t>
      </w:r>
    </w:p>
    <w:p>
      <w:r>
        <w:t>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BGer 1C_365/2013 vom 8. Januar 2014 E. 3; BGE 129 II 82 E. 4.1; 127 II 122 E. 3c; 124 II 559 E. 3d und 4e).Bestehen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Abhängigkeitspotential aufweisen (Art. 15d Abs. 1 lit. b SVG). Nach Art. 30 der Verkehrszulassungsverordnung (VZV, SR 741.51) kann der Führerausweis vorsorglich entzogen werden, wenn ernsthafte Zweifel an der Fahreignung einer Person bestehen.</w:t>
      </w:r>
    </w:p>
    <w:p>
      <w:r>
        <w:rPr>
          <w:b/>
        </w:rPr>
        <w:t>E. 5.2</w:t>
      </w:r>
    </w:p>
    <w:p>
      <w:r>
        <w:t>Das Bundesgericht hält zum vorsorglichen Entzug fest, angesichts des grossen Gefährdungspotentials, welches dem Führen eines Motorfahrzeuges eigen sei, erlaubten schon Anhaltspunkte, die den Fahrzeugführer als besonderes Risiko für die anderen Verkehrsteilnehmer erscheinen liessen und ernsthafte Zweifel an seiner Fahreignung erweckten, den vorsorglichen Ausweisentzug. Der strikte Beweis für die Fahreignung ausschliessende Umstände sei nicht erforderlich; wäre dieser erbracht, müsste unmittelbar der Sicherungsentzug selbst verfügt werden. Könnten die notwendigen Abklärungen nicht rasch und abschliessend getroffen werden, solle der Ausweis schon vor dem Sachentscheid provisorisch entzogen werden können und brauche eine umfassende Auseinandersetzung mit sämtlichen Gesichtspunkten, die für oder gegen einen Sicherungsentzug sprächen, erst im anschliessenden Hauptverfahren zu erfolgen. Der vorsorgliche Entzug des Führerausweises bilde während eines Sicherungsentzugsverfahrens zum Schutz der allgemeinen Verkehrssicherheit die Regel (Urteil des BGer 1C_177/2013 vom 9. September 2013 E. 3; BGE 127 II 122 E.5; 125 II 396 E. 3).</w:t>
      </w:r>
    </w:p>
    <w:p>
      <w:r>
        <w:rPr>
          <w:b/>
        </w:rPr>
        <w:t>E. 5.3</w:t>
      </w:r>
    </w:p>
    <w:p>
      <w:r>
        <w:t>Der von der Polizei am 7. April 2017 durchgeführte Drogenschnelltest fiel positiv aus, worauf der Beschwerdeführer zur Blut- und Urinentnahme ins Kantonsspital Olten gebracht worden ist. Die chemisch-toxikologische Untersuchung der am 7. April 2017 um 19:00 Uhr entnommenen Blutprobe ergab folgende Ergebnisse: Tetrahydrocannabinol (THC): mindestens 7.7 µg/L, 11-Hydroxy-Tetradrocannabinol (11-OH-THC): 2.4 µg/L und Tetrahydrocannabinol-Carbonsäure (THC-COOH): 47 µg/L (vgl. forensisch-toxikologischer Abschlussberichts des Instituts für Rechtsmedizin der Universität Bern vom 1. Mai 2017).</w:t>
      </w:r>
    </w:p>
    <w:p>
      <w:r>
        <w:rPr>
          <w:b/>
        </w:rPr>
        <w:t>E. 5.4</w:t>
      </w:r>
    </w:p>
    <w:p>
      <w:r>
        <w:t>Gemäss der Verkehrsregelnverordnung (VRV, SR 741.11) gilt eine Fahrunfähig­keit (im Sinne von Art. 31 Abs. 2 i.V.m. Art. 55 Abs. 7 lit. a SVG) grundsätzlich als erwiesen, wenn im Blut des Fahrzeuglenkers Tetrahydrocannabinol (Cannabis) nachgewiesen wird (Art. 2 Abs. 2 lit. a VRV). Gemäss der Verordnung des ASTRA (VSKV-ASTRA, SR 741.013.1) zur Strassenverkehrskontrollverordnung (SKV, SR 741.013) gelten die Betäubungsmittel im Sinne von Art. 2 Abs. 2 lit. a VRV als nachgewiesen, wenn die Messwerte im Blut die folgenden Grenzwerte erreichen oder überschreiten: THC (Cannabinoide): 1,5 µg/L (Art. 34 lit. a VSKV-ASTRA).</w:t>
      </w:r>
    </w:p>
    <w:p>
      <w:r>
        <w:rPr>
          <w:b/>
        </w:rPr>
        <w:t>E. 5.5</w:t>
      </w:r>
    </w:p>
    <w:p>
      <w:r>
        <w:t>Der beim Beschwerdeführer ermittelte THC-Wert von mindestens 7.7 lag somit über dem Grenzwert von Art. 34 lit. a VSKV-ASTRA. Dies reicht bereits aus für einen vorsorglichen Sicherungsentzug. Der Umstand, dass der Beschwerdeführer mit einem THC-Wert im Blut von mindestens 7.7 µg/L angehalten worden ist, bestätigt den Verdacht, dass er nicht in der Lage ist, den Betäubungsmittelkonsum und die Teilnahme am Strassenverkehr zu trennen und er somit ein besonderes Risiko für die anderen Verkehrsteilnehmer darstellt. Insbesondere ist mit diesem Ergebnis auch die Aussage des Beschwerdeführers anlässlich der Polizeikontrolle widerlegt, er habe keine Drogen konsumiert. Der Beschwerdeführer ist bei seiner Fahrt nachweislich unter direktem Drogeneinfluss gestanden. Unter diesen Umständen ist es nicht vertretbar, den Beschwerdeführer bis zum Vorliegen der Abklärungs­resultate der verkehrsmedizinischen Untersuchung (vgl. dazu nachfolgend Erw. II/5.6 hienach) weiterhin zum Strassenverkehr zuzulassen. Der vorsorgliche Führerausweisentzug bis zum Vorliegen der Abklärungsergebnisse bildet denn - wie bereits erwähnt (vgl. Erw. II/5.2 hievor) - auch die Regel.</w:t>
      </w:r>
    </w:p>
    <w:p>
      <w:r>
        <w:rPr>
          <w:b/>
        </w:rPr>
        <w:t>E. 5.6</w:t>
      </w:r>
    </w:p>
    <w:p>
      <w:r>
        <w:t>Die Aussagekraft des THC-Messwerts im Blut bildet nur den Cannabiskonsum der vergangenen Stunden bzw. Tage ab. Das Testergebnis stellt daher nur eine Momentaufnahme dar. Das generelle Konsumverhalten des Beschwerdeführers, das für die Feststellung der Fahreignung entscheidend ist, lässt sich damit nicht hinreichend beurteilen. Deshalb ist eine verkehrsmedizinische Untersuchung notwendig. Indiziert ist eine solche Untersuchung, weil beim Beschwerdeführer ein THC-COOH-Gehalt von über 40 Mikrogramm pro Liter gemessen worden ist, was gemäss bundesgerichtlicher Rechtsprechung eine verkehrsmedizinische Abklärung veranlasst (Urteil des BGer 1C_618/2015 vom 7. März 2016 E. 3.3). Eine Haaranalyse wird zu zuverlässigen Aussagen zum Suchtverhalten des Beschwerdeführers in den vergangenen Monaten führen und entsprechend mehr Aufschluss geben. Sie wird Gegenstand der verkehrsmedizinischen Untersuchung sein (vgl. Urteil des BGer 1C_328/2013 vom 18. September 2013 E. 4.3.2).</w:t>
      </w:r>
    </w:p>
    <w:p>
      <w:r>
        <w:rPr>
          <w:b/>
        </w:rPr>
        <w:t>E. 6</w:t>
      </w:r>
    </w:p>
    <w:p>
      <w:r>
        <w:t>Die Beschwerde erweist sich somit als unbegründet, sie ist abzuweisen. Bei diesemAusgang hat der Beschwerdeführer die Kosten des Verfahrens vor Verwaltungs­gericht zu bezahlen, die einschliesslich der Entscheidgebühr auf CHF 1'000.00 festzusetzen sind. Sie werden mit dem geleisteten Kostenvorschuss in gleicher Höhe verrechnet.</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