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VWBES.2016.473 vom 8. Dezember 2016</w:t>
      </w:r>
    </w:p>
    <w:p>
      <w:r>
        <w:t>SO Obergericht, 2016-12-08, DE</w:t>
      </w:r>
    </w:p>
    <w:p>
      <w:r>
        <w:rPr>
          <w:b/>
        </w:rPr>
        <w:t xml:space="preserve">Quelle: </w:t>
      </w:r>
      <w:r>
        <w:t>https://mcp.opencaselaw.ch/entscheid/so_gerichte_VWBES.2016.473</w:t>
      </w:r>
    </w:p>
    <w:p>
      <w:r>
        <w:t>FR: SO_GERICHTE VWBES.2016.473 du 8 décembre 2016</w:t>
      </w:r>
    </w:p>
    <w:p>
      <w:r>
        <w:t>IT: SO_GERICHTE VWBES.2016.473 del 8 dicembre 2016</w:t>
      </w:r>
    </w:p>
    <w:p>
      <w:pPr>
        <w:pStyle w:val="Heading2"/>
      </w:pPr>
      <w:r>
        <w:t>Erwägungen</w:t>
      </w:r>
    </w:p>
    <w:p>
      <w:r>
        <w:rPr>
          <w:b/>
        </w:rPr>
        <w:t>E. 2</w:t>
      </w:r>
    </w:p>
    <w:p>
      <w:r>
        <w:t>Mit Verfügung vom 8. Dezember 2016 wurde A.___ der Führerausweis von der Motorfahrzeugkontrolle des Kantons Solothurn (nachfolgend: MFK), namens des Bau- und Justizdepartements, für die Dauer von drei Monaten wegen einer schweren Widerhandlung gegen die Strassenverkehrsvorschriften entzogen.</w:t>
      </w:r>
    </w:p>
    <w:p>
      <w:r>
        <w:t>3.1 Dagegen liess A.___ (nachfolgend: Beschwerdeführer) am 20. Dezember 2016 Beschwerde an das Verwaltungsgericht des Kantons Solothurn erheben. Er verlangte, die angefochtene Verfügung sei vollumfänglich aufzuheben und er sei zu verwarnen, eventuell sei ihm der Führerausweis für die Dauer von einem Monat zu entziehen, u.K.u.E.F.</w:t>
      </w:r>
    </w:p>
    <w:p>
      <w:r>
        <w:t>3.2 Mit ergänzender Beschwerdebegründung vom 12. Januar 2017 hielt der Beschwerdeführer an den gestellten Rechtsbegehren fest. Zudem stellte er den Verfahrensantrag um Gewährung der aufschiebenden Wirkung.</w:t>
      </w:r>
    </w:p>
    <w:p>
      <w:r>
        <w:t>3.3 Mit Präsidialverfügung vom 13. Januar 2017 wurde der Beschwerde die aufschiebende Wirkung erteilt.</w:t>
      </w:r>
    </w:p>
    <w:p>
      <w:r>
        <w:t>3.4 Mit Stellungnahme vom 1. Februar 2017 schloss die MFK auf Abweisung der Beschwerde.</w:t>
      </w:r>
    </w:p>
    <w:p>
      <w:r>
        <w:t>3.5 Der Beschwerdeführer reichte dazu am 28. Februar 2017 eine Replik zu den Akten.</w:t>
      </w:r>
    </w:p>
    <w:p>
      <w:r>
        <w:rPr>
          <w:b/>
        </w:rPr>
        <w:t>E. 2.1</w:t>
      </w:r>
    </w:p>
    <w:p>
      <w:r>
        <w:t>Der Beschwerdeführer rügt eine Verletzung des rechtlichen Gehörs. Er macht geltend, in der angefochtenen Verfügung werde mit keinem Wort begründet, weshalb von einer schweren und nicht von einer leichten Verkehrswiderhandlung ausgegangen werde.</w:t>
      </w:r>
    </w:p>
    <w:p>
      <w:r>
        <w:rPr>
          <w:b/>
        </w:rPr>
        <w:t>E. 2.2</w:t>
      </w:r>
    </w:p>
    <w:p>
      <w:r>
        <w:t>Aus dem Anspruch auf rechtliches Gehör (Art. 29 Abs. 2 der Schweizerischen Bundesverfassung, BV, SR 101)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Parteistandpunkteneinlässlich auseinandersetzt und jedes einzelne Vorbringen ausdrücklich widerlegt (BGE 138 I 232 E. 5.1; 136 I 229 E. 5.2; 133 III 439 E. 3.3; je mit Hinweisen).</w:t>
      </w:r>
    </w:p>
    <w:p>
      <w:r>
        <w:t>2.3Inwiefern der angefochtene Entscheid diesen vorgenannten Minimalanforderungennicht genügen würde, ist nicht ersichtlich. Entgegen der Auffassung des Beschwerdeführers äusserte sich die Vorinstanz sehr wohl dazu, warum sie von einer schweren Verkehrsregelwiderhandlung ausging, nämlich, weil nach der Praxis des Verwaltungsgerichts von einer schweren Widerhandlung auszugehen sei, wenn beim Hintereinanderfahren der zeitliche Abstand weniger als 0.6 Sekunden betrage. Wie es sich damit verhält, ist keine Frage der Verletzung des rechtlichen Gehörs, sondern eine solche der Anwendung des materiellen Rechts. Dass sich der Entscheid nicht mit allen Parteistandpunkten einlässlich auseinander setzen und jedes einzelne Vorbringen ausdrücklich widerlegen muss, wurde soeben erwähnt. Der Beschwerdeführer hat  entgegen seinen Ausführungen  den Entscheid denn auch sachgerecht anfechten können, was anhand der eingereichten Beschwerde dargetan ist. Die Rüge der Gehörsverletzung ist deshalb unbegründet.</w:t>
      </w:r>
    </w:p>
    <w:p>
      <w:r>
        <w:t>3. Nach Art. 16 Abs. 2 des Strassenverkehrsgesetzes (SVG, SR 741.01)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w:t>
      </w:r>
    </w:p>
    <w:p>
      <w:r>
        <w:rPr>
          <w:b/>
        </w:rPr>
        <w:t>E. 2.3</w:t>
      </w:r>
    </w:p>
    <w:p>
      <w:r>
        <w:t>Inwiefern der angefochtene Entscheid diesen vorgenannten Minimalanforderungen nicht genügen würde, ist nicht ersichtlich. Entgegen der Auffassung des Beschwerdeführers äusserte sich die Vorinstanz sehr wohl dazu, warum sie von einer schweren Verkehrsregelwiderhandlung ausging, nämlich, weil nach der Praxis des Verwaltungsgerichts von einer schweren Widerhandlung auszugehen sei, wenn beim Hintereinanderfahren der zeitliche Abstand weniger als 0.6 Sekunden betrage. Wie es sich damit verhält, ist keine Frage der Verletzung des rechtlichen Gehörs, sondern eine solche der Anwendung des materiellen Rechts. Dass sich der Entscheid nicht mit allen Parteistandpunkten einlässlich auseinander setzen und jedes einzelne Vorbringen ausdrücklich widerlegen muss, wurde soeben erwähnt. Der Beschwerdeführer hat – entgegen seinen Ausführungen – den Entscheid denn auch sachgerecht anfechten können, was anhand der eingereichten Beschwerde dargetan ist. Die Rüge der Gehörsverletzung ist deshalb unbegründet. 3. Nach Art. 16 Abs. 2 des Strassenverkehrsgesetzes (SVG, SR 741.01)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Im Strafbefehl der Staatsanwaltschaft des Kantons Basel-Landschaft vom 15. September 2016 wurde das Verhalten des Beschwerdeführers als einfache Verletzung der Verkehrsregeln im Sinne von Art. 90 Ziff. 1 SVG gewürdigt. Die Verwaltungsbehörden sind nur an die Tatsachenfeststellungen gebunden. Sie können für die Administrativmassnahme ihre eigene rechtliche Würdigung des Sachverhalts vornehmen (vgl. BGE 127 II 302 nicht publ. E. 3a; 124 II 103 E. 1c/bb). Es stellt sich vorliegend die Frage, ob die Verwaltungsbehörde zu Recht aufgrund des Sachverhalts von einer schweren Widerhandlung gemäss Art. 16c Abs. 1 lit. a SVG ausgehen durfte.</w:t>
      </w:r>
    </w:p>
    <w:p>
      <w:r>
        <w:rPr>
          <w:b/>
        </w:rPr>
        <w:t>E. 4.2</w:t>
      </w:r>
    </w:p>
    <w:p>
      <w:r>
        <w:t>Gemäss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Verkehrsregelverordnung [VRV, SR 741.11]). Diesen Bestimmungen kommt grosse Bedeutung zu, weil sich zahlreiche Unfälle dadurch ereignen, dass ein zweites Fahrzeug nicht genügend Abstand zum ersten einhält (vgl. BGE 126 II 358 E. 1.a mit Hinweis auf BGE 115 IV 248 E. 3a).</w:t>
      </w:r>
    </w:p>
    <w:p>
      <w:r>
        <w:t>4.3Was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GanzenBGE 131 IV 133E. 3.1 mit Hinweisen). Diese Distanz entspricht ungefähr der Anhaltestrecke bei plötzlichem ordnungsgemässem Bremsen und Anhalten des vorausfahrenden Personenwagens (BGE 104 IV 192E. 2b). Für die Beurteilung, ob eine grobe Verkehrsregelverletzung anzunehmen ist, wird auf Autobahnen als Richtschnur die Regel «1/6-Tacho» bzw. Abstand von 0,6 Sekunden herangezogen (BGE 131 IV 133E. 3.2.2; Urteile des BGer 6B_593/2013 vom 22. Oktober 2013 E. 2.3.2; 6B_127/2012 vom 3. September 2012 E. 3.1; 6B_1014/2010 vom 12. Mai 2011 E. 3.5; je mit Hinweis).</w:t>
      </w:r>
    </w:p>
    <w:p>
      <w:r>
        <w:rPr>
          <w:b/>
        </w:rPr>
        <w:t>E. 4.3</w:t>
      </w:r>
    </w:p>
    <w:p>
      <w:r>
        <w:t>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anzunehmen ist, wird auf Autobahnen als Richtschnur die Regel «1/6-Tacho» bzw. Abstand von 0,6 Sekunden herangezogen ( BGE 131 IV 133 E. 3.2.2; Urteile des BGer 6B_593/2013 vom 22. Oktober 2013 E. 2.3.2; 6B_127/2012 vom 3. September 2012 E. 3.1; 6B_1014/2010 vom 12. Mai 2011 E. 3.5; je mit Hinweis).</w:t>
      </w:r>
    </w:p>
    <w:p>
      <w:r>
        <w:rPr>
          <w:b/>
        </w:rPr>
        <w:t>E. 4.4</w:t>
      </w:r>
    </w:p>
    <w:p>
      <w:r>
        <w:t>Im Entscheid SOG 2007 Nr. 20 hat sich das Verwaltungsgericht ausführlich mit der Problematik des zeitlichen Abstands und der Qualifikation der Widerhandlung auseinandergesetzt. Es stellte fest, dass bei einem zeitlichen Abstand zwischen 0,6 und 0,8 Sekunden eine mittelschwere Widerhandlung vorliege. Es liess jedoch  wie vom Beschwerdeführer zu Recht bemerkt  offen, ob ein schwerer Fall bei einem zeitlichen Abstand von weniger als 0,5 oder 0,6 Sekunden gegeben sei. Es kann denn auch nicht  wie die Vorinstanz dies im angefochtenen Entscheid offensichtlich tut - schematisch festgelegt werden, welcher zeitliche Abstand als schwer und welcher als mittelschwer gelten soll. Gerade für den Grenzbereich sind sämtliche Umstände, wie das Verkehrsaufkommen, die Witterungsverhältnisse, der Zustand des Lenkers usw. zu berücksichtigen (Urteile des BGer 1C_356/2009 vom 12. Februar 2010; 6B_700/2010 vom 16. November 2010; BGE 131 IV 133).</w:t>
      </w:r>
    </w:p>
    <w:p>
      <w:r>
        <w:rPr>
          <w:b/>
        </w:rPr>
        <w:t>E. 4.5</w:t>
      </w:r>
    </w:p>
    <w:p>
      <w:r>
        <w:t>Es ist unbestritten, dass der Beschwerdeführer über eine Strecke von 360 Metern bei einer gefahrenen Geschwindigkeit von 70 km/h einen Abstand von 0.56 Sekunden zum Vorderfahrzeug hatte. Der Beschwerdeführer hatte damit zum Vorwagen lediglich einen Abstand von 10.8 Metern. Nach der Faustregel «halber Tacho» hätte der Beschwerdeführer  selbst bei guter Witterung  aber einen Abstand von mindestens 35 Metern einhalten müssen. Damit fuhr der Beschwerdeführer unbestritten mit ungenügendem Sicherheitsabstand zum voranfahrenden Fahrzeug.</w:t>
      </w:r>
    </w:p>
    <w:p>
      <w:r>
        <w:rPr>
          <w:b/>
        </w:rPr>
        <w:t>E. 4.6</w:t>
      </w:r>
    </w:p>
    <w:p>
      <w:r>
        <w:t>Der Beschwerdeführer rügt, die Vorinstanz habe weder gewürdigt, dass sich der Abstand zwischen den Fahrzeugen während der Fahrt auf 0.6 Sekunden vergrössert habe, noch dass er sich im fraglichen Zeitpunkt in seiner Eigenschaft als Inhaber einer Liftbaufirma auf dem Weg zu einem Notfall befunden habe. Er habe aufgrund einer Notfallmeldung so schnell als möglich eine 91-jährige Frau mit Herzproblemen aus einem geschlossenen Lift befreien wollen.</w:t>
      </w:r>
    </w:p>
    <w:p>
      <w:r>
        <w:rPr>
          <w:b/>
        </w:rPr>
        <w:t>E. 4.7</w:t>
      </w:r>
    </w:p>
    <w:p>
      <w:r>
        <w:t>Der Beschwerdeführer kann aus seinem Vorbringen, der Abstand habe sich auf der gemessenen Strecke nachweislich vergrössert, nichts zu seinen Gunsten ableiten. Denn gemäss Bundesgericht kommt es nicht darauf an, über welche Distanz und Dauer ein ungenügender Abstand gehalten wurde. Bereits das zu nahe Auffahren auf einer verhältnismässig kurzen Strecke kann als schwere Widerhandlung gewertet werden, da die Dauer des zu nahen Auffahrens zur Beurteilung der Gefährdung nur ein Kriterium neben anderen darstellt (Bernhard Rütsche/Denise Weber in: Marcel Alexander Niggli et al. [Hrsg.], Strassenverkehrsgesetz, Basler Kommentar, Basel 2014, Art. 16c N 12 mit Hinweisen).</w:t>
      </w:r>
    </w:p>
    <w:p>
      <w:r>
        <w:rPr>
          <w:b/>
        </w:rPr>
        <w:t>E. 4.8</w:t>
      </w:r>
    </w:p>
    <w:p>
      <w:r>
        <w:t>Die Widerhandlung ereignete sich am 1. Dezember 2014, 6:41 Uhr, und damit bei Dunkelheit. Es herrschte aufgrund des morgendlichen Berufsverkehrs ein erhöhtes Verkehrsaufkommen und die Fahrbahn war regennass (vgl. Polizeirapport und das sich bei den Akten befindende Videomaterial). Die Strassen- und Sichtverhältnisse waren also ungünstig. Bei diesen Gegebenheiten hätte der Beschwerdeführer  trotz seiner angeblichen ständigen Bremsbereitschaft  bei einem verkehrsbedingten brüsken Abbremsen des voranfahrenden Fahrzeugs einen Auffahrunfall kaum vermeiden können. Vorliegend ist aufgrund der Gegebenheiten in objektiver Hinsicht von einer erhöhten abstrakten Gefährdung der anderen Verkehrsteilnehmer auszugehen.</w:t>
      </w:r>
    </w:p>
    <w:p>
      <w:r>
        <w:rPr>
          <w:b/>
        </w:rPr>
        <w:t>E. 4.9</w:t>
      </w:r>
    </w:p>
    <w:p>
      <w:r>
        <w:t>Die vorliegend zu beurteilende Widerhandlung ist damit unter Berücksichtigung aller Umstände als schwer im Sinne von Art. 16c SVG zu qualifizieren.</w:t>
      </w:r>
    </w:p>
    <w:p>
      <w:r>
        <w:rPr>
          <w:b/>
        </w:rPr>
        <w:t>E. 5</w:t>
      </w:r>
    </w:p>
    <w:p>
      <w:r>
        <w:t>Gemäss Art. 16c Abs. 2 lit. a SVG wird nach einer schweren Widerhandlung der Führerausweis für mindestens drei Monate entzogen. Bei der dreimonatigen Führerausweisentzugsdauer handelt es sich um die Mindestentzugsdauer gemäss Art. 16 Abs. 3 SVG. Die berufliche Notwendigkeit ein Motorfahrzeug zu führen sowie die Gefährdung, das Verschulden und der Leumund als Motorfahrzeugführer können somit nicht weiter berücksichtigt werden. Die von der Vorinstanz verfügte Entzugsdauer ist demnach nicht zu beanstanden.</w:t>
      </w:r>
    </w:p>
    <w:p>
      <w:r>
        <w:rPr>
          <w:b/>
        </w:rPr>
        <w:t>E. 6</w:t>
      </w:r>
    </w:p>
    <w:p>
      <w:r>
        <w:t>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