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VWBES.2012.332 vom 18. Februar 2014</w:t>
      </w:r>
    </w:p>
    <w:p>
      <w:r>
        <w:t>SO Obergericht, 2014-02-18, DE</w:t>
      </w:r>
    </w:p>
    <w:p>
      <w:r>
        <w:rPr>
          <w:b/>
        </w:rPr>
        <w:t xml:space="preserve">Quelle: </w:t>
      </w:r>
      <w:r>
        <w:t>https://mcp.opencaselaw.ch/entscheid/so_gerichte_VWBES.2012.332</w:t>
      </w:r>
    </w:p>
    <w:p>
      <w:r>
        <w:t>FR: SO_GERICHTE VWBES.2012.332 du 18 février 2014</w:t>
      </w:r>
    </w:p>
    <w:p>
      <w:r>
        <w:t>IT: SO_GERICHTE VWBES.2012.332 del 18 febbraio 2014</w:t>
      </w:r>
    </w:p>
    <w:p>
      <w:pPr>
        <w:pStyle w:val="Heading2"/>
      </w:pPr>
      <w:r>
        <w:t>Regeste</w:t>
      </w:r>
    </w:p>
    <w:p>
      <w:r>
        <w:t>§ 111 Abs. 1 PBG. Die Grundeigentümerbeitragspflicht muss grundsätzlich vor der Bauausführung, nicht aber bereits vor dem Gemeindeversammlungsbeschluss über den Verpflichtungskredit festgesetzt sein.§ 108 Abs. 2 PBG, § 5 Abs. 3 GBV. Die Sanierung einer bereits bestehenden Mischwasserleitung durch den Einbau einer zusätzlichen Sauberwasserleitung stellt keine beitragspflichtige Neuerschliessung dar, wenn vorher eine der früheren Nutzungsplanung entsprechende Erschliessungsanlage bestanden hat.§ 7 Abs. 2 GBV. Auch eine bloss teilweise Erneuerung des Strassenunterbaus löst eine Beitragspflicht aus, solange die Kosten der neuen Kofferung einen namhaften Anteil der Gesamtaufwendungen ausmachen.§ 42 Abs. 3 GBV. Bei Ausbauten oder Korrekturen von Strassen ist in der Regel eine Reduktion der Grundeigentümerbeiträge um 1/5 bis 2/3 geboten.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würde aber jedenfalls den Rahmen des beitragsrechtlich Erlaubten sprengen. Verwaltungsgericht, Urteil vom 18. Februar 2014 (VWBES.2012.332)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