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VWBES.2009.102 vom 4. März 2010</w:t>
      </w:r>
    </w:p>
    <w:p>
      <w:r>
        <w:t>SO Obergericht, 2010-03-04, DE</w:t>
      </w:r>
    </w:p>
    <w:p>
      <w:r>
        <w:rPr>
          <w:b/>
        </w:rPr>
        <w:t xml:space="preserve">Quelle: </w:t>
      </w:r>
      <w:r>
        <w:t>https://mcp.opencaselaw.ch/entscheid/so_gerichte_VWBES.2009.102</w:t>
      </w:r>
    </w:p>
    <w:p>
      <w:r>
        <w:t>FR: SO_GERICHTE VWBES.2009.102 du 4 mars 2010</w:t>
      </w:r>
    </w:p>
    <w:p>
      <w:r>
        <w:t>IT: SO_GERICHTE VWBES.2009.102 del 4 marzo 2010</w:t>
      </w:r>
    </w:p>
    <w:p>
      <w:pPr>
        <w:pStyle w:val="Heading2"/>
      </w:pPr>
      <w:r>
        <w:t>Regeste</w:t>
      </w:r>
    </w:p>
    <w:p>
      <w:r>
        <w:t>Ein öffentliches Notwegrecht greift erheblich in die Eigentumsgarantie ein. Es ist nur zulässig, wenn es im öffentlichen Interesse und die Eigentumsbelastung verhältnismässig ist. Kein öffentliches Interesse am Notwegrecht besteht, wenn das Wegrecht ohne Eigentumsbelastung in eine Richtung befahrbar ist.</w:t>
      </w:r>
    </w:p>
    <w:p>
      <w:pPr>
        <w:pStyle w:val="Heading2"/>
      </w:pPr>
      <w:r>
        <w:t>Erwägungen</w:t>
      </w:r>
    </w:p>
    <w:p>
      <w:r>
        <w:rPr>
          <w:b/>
        </w:rPr>
        <w:t>E. 2</w:t>
      </w:r>
    </w:p>
    <w:p>
      <w:r>
        <w:t>Gestützt auf § 103 Abs. 2 i.V.m. § 104 Abs. 2 PBG wird für eine der Verkehrssicherheit entsprechende Ein- und Ausfahrt zu Lasten GB Nr. Z eine Duldungspflicht verfügt. Die Duldungspflicht betrifft die auf dem Plan vom 11. September 2008 vorgesehene Fläche (zwischen dem mit gerader gestrichelter Linie dargestellten Weg und dem rot dargestellten Radius der Schleppkurve).</w:t>
      </w:r>
    </w:p>
    <w:p>
      <w:r>
        <w:rPr>
          <w:b/>
        </w:rPr>
        <w:t>E. 3</w:t>
      </w:r>
    </w:p>
    <w:p>
      <w:r>
        <w:t>Die Grundeigentümer A. und B. haben alle baulichen Anlagen auf der mit einer Duldungspflicht belegten Fläche rückzubauen und die Fläche mit einem Teerbelag zu versehen.</w:t>
      </w:r>
    </w:p>
    <w:p>
      <w:r>
        <w:rPr>
          <w:b/>
        </w:rPr>
        <w:t>E. 4</w:t>
      </w:r>
    </w:p>
    <w:p>
      <w:r>
        <w:t>Die Kosten für den Rückbau und die Teerung nach Ziff. 3 tragen die Grundeigentümer A. und B.</w:t>
      </w:r>
    </w:p>
    <w:p>
      <w:r>
        <w:rPr>
          <w:b/>
        </w:rPr>
        <w:t>E. 5</w:t>
      </w:r>
    </w:p>
    <w:p>
      <w:r>
        <w:t>Die Parteien haben sich am Unterhalt des erweiterten Einfahrtsbereichs im gleichen Ausmass zu beteiligen wie die Dienstbarkeitsberechtigten und (allenfalls) der Grundeigentümer von GB Nr. Z (belastetes Grundstück) am Unterhalt des Weges in den Hinterhof nach den zivilrechtlichen Bestimmungen.</w:t>
      </w:r>
    </w:p>
    <w:p>
      <w:r>
        <w:rPr>
          <w:b/>
        </w:rPr>
        <w:t>E. 6</w:t>
      </w:r>
    </w:p>
    <w:p>
      <w:r>
        <w:t>Auch wenn das private Wegrecht keine genügende Erschliessungsstrasse ist, darf diese zur privaten Durchfahrt genutzt werden, wenn dies die Verkehrssicherheit gestattet. (...)</w:t>
      </w:r>
    </w:p>
    <w:p>
      <w:r>
        <w:t>7.a) Um die Einfahrt von Norden in den Privatweg so verkehrssicher als möglich zu gestalten, verfügte die BK die Rabatten auf dem Vorplatz der Beschwerdeführer weg. Das BJD auferlegte den Beschwerdeführern als Grundeigentümer zur Sicherstellung der freizuhaltenden Wendekreisfläche sogar eine Duldungspflicht im Sinne von § 104 PBG.</w:t>
      </w:r>
    </w:p>
    <w:p>
      <w:r>
        <w:t>Es ist unbestritten, dass die Fläche der Wegrechtsdienstbarkeit für die Durchfahrt frei zu halten ist. Der Vergleich zwischen der freizuhaltenden Wegrechtsfläche und dem Plan des Vorplatzes zeigt, dass die Rabatten entlang des Wegrechts verlaufen. Damit verstossen die von den Beschwerdeführern auf dem Vorplatz erstellten Rabatten nicht gegen das vorfrageweise festgestellte, private Wegrecht. Dass die Rabatten nicht gemäss Plan erstellt wurden, wurde nicht vorgebracht. Die Rabatten wurden somit nicht rechtswidrig erstellt. Eine Beseitigung gestützt auf § 151 PBG ist somit nicht möglich.</w:t>
      </w:r>
    </w:p>
    <w:p>
      <w:r>
        <w:t>b) Es ist zu prüfen, ob vorliegend ein anderer Grund zur Beseitigung der Rabatten besteht. Die Wegverfügung der erstellten Rabatten stellt eine Einschränkung in das Grundrecht der Eigentumsgarantie der Beschwerdeführer dar. Einschränkungen in Grundrechte sind gemäss Art. 36 BV möglich. Sie bedürfen jedoch einer gesetzlichen Grundlage. Zudem müssen sie durch ein öffentliches Interesse oder durch den Schutz von Grundrechten Dritter gerechtfertigt und verhältnismässig sein.</w:t>
      </w:r>
    </w:p>
    <w:p>
      <w:r>
        <w:t>§ 104 Abs. 2 PBG regelt unter dem Randtitel «Mitbenutzung und Duldung» die öffentlich-rechtliche Pflicht der Grundeigentümer zur Kooperation bei der privaten Erschliessung von Bauparzellen. Damit verankert § 104 Abs. 2 PBG den öffentlichen Notweg, also die Pflicht der Grundeigentümer, die einem Dritten dienende und von diesem zu erstellende private Erschliessungsanlage auf ihren Grundstücken zu dulden. Für die Auferlegung von Duldungspflichten bei zu erstellenden Erschliessungsanlagen oder auch zu sichernden Erschliessungsanlagen ist somit eine gesetzliche Grundlage im PBG verankert.</w:t>
      </w:r>
    </w:p>
    <w:p>
      <w:r>
        <w:t>Die Duldungspflicht gemäss § 104 Abs. 2 PBG darf einem Grundeigentümer jedoch nur auferlegt werden, wenn sie im öffentlichen Interesse und die Eigentumsbelastung verhältnismässig ist. Die Verhältnismässigkeit ist verletzt, wenn Land für die Erschliessungsanlagen nicht mit planerischen Mitteln sichergestellt wird, obwohl dies möglich wäre. Das Recht zur Mitbenützung der Erschliessungsanlagen kann deshalb auf dem Verfügungswege nur durchgesetzt werden, wenn keine öffentlich-rechtliche Lösung der Erschliessung gefunden werden kann. Die für die Erschliessung notwendigen Anlagen sind wenn möglich im Nutzungsplanverfahren zu planen und auszuscheiden (SOG 1997 Nr. 22; BGE 121 I 65).</w:t>
      </w:r>
    </w:p>
    <w:p>
      <w:r>
        <w:t>Wie bereits festgestellt wurde, ist das private Wegrecht keine genügende Erschliessungsstrasse im Sinne des öffentlichen Rechts. Die Durchfahrt steht somit nicht im öffentlichen, sondern nur im privaten Interesse der Anwohner. Natürlich ist die Verkehrssicherheit auf der Kantonsstrasse ein öffentliches Interesse. Diese kann jedoch auch z.B. mittels Einbiegeverbot von Norden in den privaten Weg erreicht werden. Auch die Ausfahrt nach Norden liegt nicht im öffentlichen Interesse. Den Wegrechtsbegünstigten ist zumutbar, den privaten Weg von Süden ein- und nach Süden auszufahren. Damit fehlt für die Auferlegung einer Duldungspflicht bereits das öffentliche Interesse. Zudem steht die Auferlegung einer Duldungspflicht und der damit einhergehenden erheblichen Einschränkung in das Eigentum der Beschwerdeführer in keinem Verhältnis zur Möglichkeit der Ein- und Ausfahrt von oder nach Norden der Beschwerdegegner. Das private Wegrecht kann ohne Auferlegung einer Duldungspflicht und der Wegverfügung der Rabatten ausgeübt werden. Für die Verkehrssicherheit sind eine Duldungspflicht und die Wegverfügung der Rabatten nicht notwendig.</w:t>
      </w:r>
    </w:p>
    <w:p>
      <w:r>
        <w:t>Das BJD und die BK haben damit die Eigentumsgarantie der Beschwerdeführer zu Unrecht eingeschränkt. Die Beschwerde erweist sich in den Punkten zur Duldungspflicht als begründet. (...)</w:t>
      </w:r>
    </w:p>
    <w:p>
      <w:r>
        <w:t>Verwaltungsgericht, Urteil vom 4. März 2010 (VWBES.2009.102)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