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VWBES.2005.394 vom 27. Januar 2006</w:t>
      </w:r>
    </w:p>
    <w:p>
      <w:r>
        <w:t>SO Obergericht, 2006-01-27, DE</w:t>
      </w:r>
    </w:p>
    <w:p>
      <w:r>
        <w:rPr>
          <w:b/>
        </w:rPr>
        <w:t xml:space="preserve">Quelle: </w:t>
      </w:r>
      <w:r>
        <w:t>https://mcp.opencaselaw.ch/entscheid/so_gerichte_VWBES.2005.394</w:t>
      </w:r>
    </w:p>
    <w:p>
      <w:r>
        <w:t>FR: SO_GERICHTE VWBES.2005.394 du 27 janvier 2006</w:t>
      </w:r>
    </w:p>
    <w:p>
      <w:r>
        <w:t>IT: SO_GERICHTE VWBES.2005.394 del 27 gennaio 2006</w:t>
      </w:r>
    </w:p>
    <w:p>
      <w:pPr>
        <w:pStyle w:val="Heading2"/>
      </w:pPr>
      <w:r>
        <w:t>Regeste</w:t>
      </w:r>
    </w:p>
    <w:p>
      <w:r>
        <w:t>Verfahrensgarantien. Elemente einer Verfügung. Begründungspflicht: Es ist unzulässig, die Begründung erst im Rechtsmittelverfahren nachzureichen. Aktenerstellungspflicht: Besprechungen sind zu protokollieren.</w:t>
      </w:r>
    </w:p>
    <w:p>
      <w:pPr>
        <w:pStyle w:val="Heading2"/>
      </w:pPr>
      <w:r>
        <w:t>Erwägungen</w:t>
      </w:r>
    </w:p>
    <w:p>
      <w:r>
        <w:rPr>
          <w:b/>
        </w:rPr>
        <w:t>E. 1</w:t>
      </w:r>
    </w:p>
    <w:p>
      <w:r>
        <w:t>Ia 1; 107 Ia 248; Jörg Paul Müller/Stefan Müller: Grundrechte, Besonderer Teil, Bern 1985, S. 250 ff.; vgl. dazu auch Art. 35 VwVG; BGE 104 V 154; 99 V 188; 98 Ib 195). Der Bürger soll wissen, warum die Behörde entgegen seinem Antrag entschieden hat.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(vgl. dazu BGE 103 Ia 205; Thomas Cottier: Der Anspruch auf rechtliches Gehör [Art. 4 BV], in: recht 1984, S. 126; BGE 112 Ia 109 f.). d) Ein mangelhaft begründeter Entscheid ist auf Beschwerde hin grundsätzlich aufzuheben; es genügt nicht, dass die Behörde die verfassungsrechtlich gebotene Begründung in der Vernehmlassung zum Rechtsmittelverfahren “nachschiebt”. e) Es haben anscheinend Besprechungen stattgefunden. Darüber befindet sich aber kein Protokoll in den Akten. Das Bundesgericht verpflichtet Behörden dazu, dass alles in den Akten festgehalten wird, was zur Sache gehört (BGE 115 Ia 99). Dieser Grundsatz, der im Strafverfahren entwickelt wurde, gilt für alle Verfahrensarten. Es besteht eine Aktenerstellungspflicht. Ein Protokoll dient nicht nur der Verwaltungsbehörde als Gedächtnisstütze, es ist auch Voraussetzung des verfassungsmässig garantierten Akteneinsichtsrechts des Betroffenen und es bildet schliesslich auch unverzichtbare Grundlage für die Überprüfung eines Entscheids durch die Rechtsmittelinstanz (zum Ganzen: Tschannen et al., a.a.O., S. 180; Jörg Paul Müller: Grundrechte in der Schweiz, Bern 1999, S. 525 ff., S. 537 ff.). Verwaltungsgericht, Urteil vom 27. Januar 2006 (VWBES.2005.394)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