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VWBES.2004.369 vom 6. April 2004</w:t>
      </w:r>
    </w:p>
    <w:p>
      <w:r>
        <w:t>SO Obergericht, 2004-04-06, DE</w:t>
      </w:r>
    </w:p>
    <w:p>
      <w:r>
        <w:rPr>
          <w:b/>
        </w:rPr>
        <w:t xml:space="preserve">Quelle: </w:t>
      </w:r>
      <w:r>
        <w:t>https://mcp.opencaselaw.ch/entscheid/so_gerichte_VWBES.2004.369</w:t>
      </w:r>
    </w:p>
    <w:p>
      <w:r>
        <w:t>FR: SO_GERICHTE VWBES.2004.369 du 6 avril 2004</w:t>
      </w:r>
    </w:p>
    <w:p>
      <w:r>
        <w:t>IT: SO_GERICHTE VWBES.2004.369 del 6 aprile 2004</w:t>
      </w:r>
    </w:p>
    <w:p>
      <w:pPr>
        <w:pStyle w:val="Heading2"/>
      </w:pPr>
      <w:r>
        <w:t>Regeste</w:t>
      </w:r>
    </w:p>
    <w:p>
      <w:r>
        <w:t>Widerruf einer rechtskräftigen, aber materiell widerrechtlichen Baubewilligung für eine Schweinezucht, die den Mindestabstand zur Wohnzone nicht einhält.</w:t>
      </w:r>
    </w:p>
    <w:p>
      <w:pPr>
        <w:pStyle w:val="Heading2"/>
      </w:pPr>
      <w:r>
        <w:t>Erwägungen</w:t>
      </w:r>
    </w:p>
    <w:p>
      <w:r>
        <w:rPr>
          <w:b/>
        </w:rPr>
        <w:t>E. 1</w:t>
      </w:r>
    </w:p>
    <w:p>
      <w:r>
        <w:t>LRV müssen die nach den anerkannten Regeln der Tierhaltung erforderlichen Mindestabstände zu bewohnten Zonen eingehalten werden. Als solche gelten insbesondere die Empfehlungen der Forschungsanstalt Tänikon (FAT). Die Mindestabstandsvorschrift stellt eine Massnahme zur vorsorglichen Emissionsbegrenzung im Sinn von Art. 3 LRV dar. Sie dient der Aufrechterhaltung der Wohnqualität von an Landwirtschaftszonen grenzenden Bauzonen gemäss Art. 15 des Raumplanungsgesetzes (RPG, SR 700; BGE 126 II 45).</w:t>
      </w:r>
    </w:p>
    <w:p>
      <w:r>
        <w:t>f) Übermässig sind Geruchsimmissionen dann, wenn aufgrund einer Erhebung feststeht, dass sie einen wesentlichen Teil der Bevölkerung in ihrem Wohlbefinden erheblich stören (Art. 2 Abs. 5 lit. b LRV). Auf derartige Erhebungen wurde aus folgenden Gründen verzichtet: Das Bundesgericht hat in seinem Aufhebungsentscheid festgehalten, aufgrund der eingereichten Unterlagen wäre für eine Umweltfachstelle ohne weiteres erkennbar gewesen, dass die Mindestabstände zu bewohnten Zonen gemäss den FAT-Richtlinien erheblich unterschritten sind. Der Gutachter des Verwaltungsgerichts hat dies bestätigt. Bei der Mindestabstandbestimmung sei wesentlich, wo die nächste Wohnzone sei. Die nördliche Grundstücksgrenze des Betriebes S. sei gleichzeitig die im Zonenplan 1987 festgelegte Zonengrenze zur Wohnzone W2. Zu dieser Grenze müsse der 100-prozentige Mindestabstand gemäss USG eingehalten sein. Eine Geruchsmessung im eigentlichen Sinn sei nicht möglich. Es müssten also die Betroffenen befragt werden. Da bei den Anwohnern im Fall S. zwei Lager bestünden, seien deren Aussagen wenig objektiv. Eine Befragung sei wenig sinnvoll. Nach den Empfehlungen zur Beurteilung von Gerüchen (Entwurf vom Oktober 2005) des BUWAL sind Befragungen dann problematisch, wenn im Untersuchungsgebiet eine Konfliktsituation vorherrscht. Die Behörde muss deshalb stets hinterfragen, ob die Ergebnisse der Befragung im Hinblick auf deren Folgen (z.B. Sanierung einer Anlage) als ausreichend objektiv bezeichnet werden können. Es ist deshalb bei der Beurteilung, ob die Geruchsimmissionen übermässig sind, ob sie einen wesentlichen Teil der Bevölkerung in ihrem Wohlbefinden erheblich stören, weder auf die Unterschriftensammlung der Gegner noch auf die Umfrage des Anlagebetreibers abzustellen.</w:t>
      </w:r>
    </w:p>
    <w:p>
      <w:r>
        <w:t>Gemäss Hans Maurer (Lufthygienerechtliche Mindestabstände von Tierhaltungsanlagen, in: URP 2003, S. 297 ff.) umfasst der Regelungsbereich der FAT-Richtlinien in erster Linie die vorsorgliche Emissionsbegrenzung (vgl. Art. 3 LRV). Die FAT-Richtlinien können aber auch als Hilfsmittel zur Beantwortung der Frage beigezogen werden, ob eine Tierhaltungsanlage übermässige Emissionen bewirkt. Dies ist zu erwarten, wenn der halbe Mindestabstand unterschritten wird. Von dieser Faustregel ist auszugehen, solange nicht aufgrund genauerer Abklärungen etwas anderes zu erwarten ist. Wird der Mindestabstand um mehr als 50 % unterschritten, so ist von übermässigen Immissionen auszugehen (Roger Bosonnet: Luftreinhaltung in der Landwirtschaft, BUWAL, S. 9). In diesem Fall erübrigt sich das Durchführen einer Geruchserhebung. Gemäss Urteil des Bundesgerichts (BGE 1A.58/2001) ist von den FAT-Bericht-Abständen auszugehen, solange nicht aufgrund genauerer Abklärungen etwas anderes zu erwarten ist. Für Geruchsimmissionen aus Tierhaltungsanlagen enthält die LRV keine Immissionsgrenzwerte. Übermässig sind Geruchsimmissionen dann, wenn sie einen wesentlichen Teil der Bevölkerung in ihrem Wohlbefinden erheblich stören (Art. 2 Abs. 5 lit. b LRV).</w:t>
      </w:r>
    </w:p>
    <w:p>
      <w:r>
        <w:t>Die Probanden des Experten haben bei ihren wenigen Besuchen keine Gerüche wahrgenommen. Die Wettersituation sei offensichtlich bei drei Begehungen unproblematisch gewesen. Der 100-prozentige Abstand gemäss FAT beträgt gemäss der Expertise unter Einbezug aller Tiere 110 Meter. Der effektive Abstand der emittierenden Anlage zur Wohnzone betrage lediglich 20 Meter. Die Erfahrungen des Experten zeigen, dass bei Unterschreitungen der 50 %-Marke (55 m) mit übermässigen Immissionen zu rechnen ist. Die übermässigen Immissionen reichen also ca. 30 m in die bestehende Bauzone W2 hinein. Der Bereich, wo mässige Immissionen zu erwarten seien, reicht rund 80 Meter in die Wohnzone hinein. Die Berechnung der Mindestabstände lässt folglich eindeutig übermässige Immissionen erwarten. Kürzere oder längere Hitze- und Wärmeperioden könnten immer wieder zu unerträglichen Situationen führen. An diesem Standort sei eine Schweinezucht in diesem Ausmass nicht möglich. Die Geruchs­emissionen würden durch die Nachbarschaft in Zukunft immer schlechter ertragen. Es sei lediglich eine Frage der Zeit, wann an diesem Standort keine Schweinehaltung mehr betrieben werden könne.</w:t>
      </w:r>
    </w:p>
    <w:p>
      <w:r>
        <w:rPr>
          <w:b/>
        </w:rPr>
        <w:t>E. 4</w:t>
      </w:r>
    </w:p>
    <w:p>
      <w:r>
        <w:t>Die Abweichungen vom Zulässigen sind auch nach Ansicht des Gerichts aus folgendem Grund gravierend: Der Experte geht davon aus, dass in einem Radius von 30 m rund um den Stall mit übermässigen Immissionen zu rechnen ist. In einem Radius von 80 m ist mit mässigen Immissionen zu rechnen. Die Bauzonenfläche innerhalb eines Radius von 55 m beträgt ca. 2'220 m2. Innerhalb einer Distanz von 110 m vom Stall entfernt befinden sich (Reservezone nicht mitgerechnet) ca. 13'730 m2Bauzone. Bei einem Landpreis von Fr. 230.-- wird Bauland im Wert von Fr. 511'290.-- resp. Fr. 3'158'360.-- von den Immissionen betroffen. Das öffentliche Interesse am Widerruf der Bewilligung ist deshalb bedeutend, steht doch die Realisierung der Ortsplanung in diesem Quartier auf dem Spiel. Wohnzonen werden wegen der Geruchsbelästigungen nicht überbaut werden können. Auch die Nachteile, die der Landwirt in Kauf nehmen muss, sind gemäss Gutachten gravierend. Die Stilllegungskosten machen gemäss Gutachten ca. Fr. 760'000.-- aus. Dennoch fällt die Interessenabwägung zugunsten der Beschwerdeführer aus. Die Baubewilligung ist zu widerrufen.</w:t>
      </w:r>
    </w:p>
    <w:p>
      <w:r>
        <w:t>Verwaltungsgericht, Urteil vom 5. Januar 2007 (VWBES.2004.36)</w:t>
      </w:r>
    </w:p>
    <w:p>
      <w:r>
        <w:t>Das Bundesgericht ist auf eine dagegen erhobene Beschwerde in öffentlich-rechtlichen Angelegenheiten am 4. Oktober 2007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