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VSKLA.2018.6 vom 28. Februar 2019</w:t>
      </w:r>
    </w:p>
    <w:p>
      <w:r>
        <w:t>SO Obergericht, 2019-02-28, DE</w:t>
      </w:r>
    </w:p>
    <w:p>
      <w:r>
        <w:rPr>
          <w:b/>
        </w:rPr>
        <w:t xml:space="preserve">Quelle: </w:t>
      </w:r>
      <w:r>
        <w:t>https://mcp.opencaselaw.ch/entscheid/so_gerichte_VSKLA.2018.6</w:t>
      </w:r>
    </w:p>
    <w:p>
      <w:r>
        <w:t>FR: SO_GERICHTE VSKLA.2018.6 du 28 février 2019</w:t>
      </w:r>
    </w:p>
    <w:p>
      <w:r>
        <w:t>IT: SO_GERICHTE VSKLA.2018.6 del 28 febbraio 2019</w:t>
      </w:r>
    </w:p>
    <w:p>
      <w:pPr>
        <w:pStyle w:val="Heading2"/>
      </w:pPr>
      <w:r>
        <w:t>Erwägungen</w:t>
      </w:r>
    </w:p>
    <w:p>
      <w:r>
        <w:rPr>
          <w:b/>
        </w:rPr>
        <w:t>E. 24</w:t>
      </w:r>
    </w:p>
    <w:p>
      <w:r>
        <w:t>. Mai 2018 erhebt die Vorsorgeeinrichtung Stiftung für den flexiblen Altersrücktritt im Bauhauptgewerbe (fortan: Klägerin) beim Versicherungsgericht des Kantons Solothurn (fortan: Versicherungsgericht) Klage gegen den Beklagten und stellt folgende Rechtsbegehren (Aktenseite / A.S. 1 ff.): 1. Der Beklagte sei zu verpflichten, der Klägerin die Konventionalstrafen wegen Nichteinreichen der Lohnsummenmeldungen für die Jahre 2013 und 2015 in Höhe von CHF 4‘500.00, die Verfahrenskosten von CHF 1'000.00 und die Betreibungskosten von CHF 73.30 zu bezahlen. Alles unter Kosten- und Entschädigungsfolgen zu Lasten des Beklagten. Der Beklagte reicht innert Frist keine Klageantwort ein und lässt sich auch sonst nicht vernehmen (s. A.S. 17). II. 1. 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 22 BVG). Zu den Ansprüchen aus beruflicher Vorsorge gehören auch Beitragsforderungen der Klägerin (Urteil des Bundesgerichts 9C_211/2008 vom 7. Mai 2008 E. 4.2). Die Konventionalstrafen, die Gegenstand des vorliegenden Verfahrens bilden, betreffen das Nichteinreichen der Lohnsummenmeldungen, welche zur Beitragsberechnung notwendig sind (s. E. II. 2.3 und 3.2.3 hiernach). Die Konventionalstrafen dienen mit anderen Worten der Durchführung der Versicherung und betreffen damit das spezifisch berufsvorsorgerechtliche Verhältnis zwischen der Klägerin und dem Beklagten (s. Ulrich Meyer / Laurence Uttinger, in: Jacques-André Schneider / Thomas Geiser / Thomas Gächter (Hrsg.), Handkommentar zum BVG und FZG, Bern 2010, Art. 73 N 52). Die sachliche Zuständigkeit des Versicherungsgerichts ist daher zu bejahen. Mit dem Wohnsitz des Beklagten im Kanton Solothurn ist zudem auch die örtliche Zuständigkeit des Versicherungsgerichts gegeben (Art. 73 Abs. 3 BVG). 1.2     Der Präsident des Versicherungsgerichts beurteilt sozialversicherungsrechtliche Streitigkeiten bis zu einem Streitwert von CHF 30'000.00 als Einzelrichter (§ 54 bis Abs. 1 lit. a GO). Da sich das vorliegende Klagebegehren auf eine Forderung von insgesamt CHF 5'573.30 richtet, ist die Vizepräsidentin des Versicherungsgerichts (als Stellvertreterin des Präsidenten) zur Beurteilung der Angelegenheit als Einzelrichterin zuständig. 2. 2.1     Der Schweizerische Baumeisterverband (fortan: SBV) sowie die Gewerkschaften Bau &amp; Industrie GBI (heute: UNIA) und SYNA schlossen am 12. November 2002 den Gesamtarbeitsvertrag für den flexiblen Altersrücktritt im Bauhauptgewerbe ab (fortan: GAV FAR), dem später der Verband Baukader Schweiz beitrat. Dieser Vertrag wurde mit Bundesratsbeschluss vom 5. Juni 2003 (s. BBl 2003 S. 4039 ff.) per 1. Juli 2003 teilweise allgemeinverbindlich erklärt , d.h. anwendbar auf Arbeitgeber und Arbeitnehmer des betreffenden Wirtschaftszweigs oder Berufs, die am Vertrag nicht beteiligt waren. Die Geltung des GAV FAR kann sich daher entweder direkt aus diesem Vertrag oder aber aus dem Bundesratsbeschluss über die Allgemeinverbindlicherklärung (fortan: AVE GAV FAR) ergeben (Urteil des Bundesgerichts 9C_378/2011 vom 9. Dezember 2011 E. 5.2).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des Beklagten, welche die Jahre 2013 und 2015 betreffen, sowie um die Konventionalstrafen, welche die Klägerin diesbezüglich fordert (s. E. II. 3.1.2 hiernach). Die Bestimmungen des GAV FAR und des AVE GAV FAR haben, soweit für die Beurteilung des hiesigen Sachverhalts von Bedeutung, in der Zwischenzeit keine Änderungen erfahren. 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 in den Bereichen Hoch-, Tief-, Untertag- und Strassenbau, Aushub und Abbruch, Fassadenbau und -isolation, Abdichtung und Isolation an der Gebäudehülle, Betoninjektion und -sanierung sowie Asphaltierungen und Unterlagsböden (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 Die Durchführung des GAV FAR obliegt der Klägerin, 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 Allgemeinverbindlicherklärung anwendbar ist (Art. 3 Abs. 1 Reglement). 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 3 . 3.1 . 3.1.1  Nachdem die Einzelfirma des Beklagten am 26. November 2012 im Handelsregister eingetragen worden war, teilte ihm die Klägerin mit Schreiben vom 6. Dezember 2012 mit, zur Abklärung, ob er unter den Geltungsbereich des GAV FAR falle, habe er den beiliegenden Fragebogen bis 16. Januar 2013 auszufüllen und zurückschicken (KB-Nr. 5). Da dies unterblieb, mahnte die Klägerin den Beklagten am 18. Januar 2013 und setzte ihm eine neue Frist bis 1. Februar 2013, verbunden mit der Ankündigung, man werde andernfalls auf Grund der vorliegenden Informationen beschliessen (KB-Nr. 6). Da der Fragebogen trotz dieser Mahnung nicht retourniert wurde, stellte die Klägerin am 13. Februar 2013 fest, dass die Firma B.___ sowohl unter den räumlichen als auch unter den betrieblichen Geltungsbereich des AVE GAV FAR falle. Weiter wies die Klägerin den Beklagten darauf hin, dass er gegen diesen «Entscheid» innert 14 Tagen «Einsprache» erheben könne (KB-Nr. 7). Da der Beklagte diesen eingeschriebenen Brief auf der Post nicht abholte, wurde er ihm am 5. März 2013 per A-Post zugeschickt (KB-Nr. 8). In der Folge gingen bei der Klägerin keine Einwände gegen die Beitragspflicht nach AVE GAV FAR ein. 3.1.2  Der Beklagte reichte am 6. Mai 2015 für das Jahr 2014 eine Lohnsummenmeldung ein, wobei er angab, dass keine Löhne ausgerichtet worden seien (KB-Nr. 9). Für die Jahre 2012 bis 2013 sowie 2015 bis 2017 erfolgten demgegenüber keine solchen Lohnmeldungen. Am 30. September 2014 forderte die Klägerin vom Beklagten eine Konventionalstrafe von CHF 3‘000.00 zuzüglich CHF 500.00 Verfahrenskosten, da er die Lohnsummenmeldung für das Jahr 2013 nicht eingereicht habe (KB-Nr. 10). Am 9. September 2016 verlangte die Klägerin vom Beklagten eine weitere Konventionalstrafe von CHF 1‘500.00 zuzüglich CHF 500.00 Verfahrenskosten, da die Lohnsummenmeldung für das Jahr 2015 nicht eingereicht worden sei (KB-Nr. 11). 3.1.3  Der Beklagte bezahlte die beiden Konventionalstrafen nicht, weshalb die Klägerin am 15. Februar 2018 ein Betreibungsbegehren über den Betrag von insgesamt CHF 5'500.00 stellte (KB-Nr. 12). Gegen den am 13. März 2018 zugestellten Zahlungsbefehl erhob der Beklagte ohne Begründung Rechtsvorschlag (KB-Nr. 13). 3.2     Die Klägerin geht zu Recht davon aus, dass für den Beklagten als Arbeitgeber im hier interessierenden Zeitraum der AVE GAV FAR galt: 3.2.1  Da der Beklagte nicht Mitglied des SBV war und sich dem GAV FAR auch nicht angeschlossen hatte, kann sich die Anwendbarkeit des GAV FAR nur aus dem AVE GAV FAR ergeben (Urteil des Bundesgerichts 9C_1033/2009 vom 30. April 2010 E. 2.2). 3.2.2  Der AVE GAV FAR gilt für die ganze Schweiz, mit Ausnahme des Kantons Wallis und einiger anderer hier nicht interessierender Territorien (Art. 2 Abs. 1 und 2 AVE GAV FAR). Da die Firma B.___ ihr Domizil im Kanton [...] hatte (s. KB-Nr. 4), fiel sie unter den räumlichen Geltungsbereich des AVE GAV FAR. Die allgemeinverbindlichen Bestimmungen des GAV FAR gelten für die Betriebe, welche im Bauhauptgewerbe tätig sind, z.B. auf dem Gebiet des Hoch- und Tiefbaus (s. dazu E. II. 2.2 hiervor). Die B.___ beschäftigte sich gemäss Handelsregistereintrag mit Baudienstleistungen aller Art. Auf dieser Grundlage ist davon auszugehen, dass ihre Tätigkeit zum Bauhauptgewerbe im vorstehenden Sinne gehörte und unter den bet rieblichen Geltungsbereich des AVE GAV FAR fiel. Dies muss umso mehr gelten, als der Beklagte in all den Jahren weder Unterlagen beibrachte, welche ein anderes Betätigungsfeld der Firma belegen, noch jemals die Anwendbarkeit des AVE GAV FAR bestritten hat. Für das Jahr 2014 reichte er sogar eine Lohnsummenmeldung ein, was darauf hindeutet, dass er die Anwendbarkeit grundsätzlich anerkannte. Im Übrigen ist auch nirgends ersichtlich, dass die Firma B.___ aus verschiedenen Betriebsteilen bestand. 3.2.3  Der Beklagte missachtete seine Pflicht als dem AVE GAV FAR unterstehender Arbeitgeber, der Klägerin für die Jahre 2013 und 2015 jeweils eine Lohnsummenmeldung abzugehen (s. E. II. 2.3 hiervor). Diese Pflicht galt unabhängig davon, ob der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 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 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2.1 und 2.2, KB-Nr. 15). Die Klägerin war demnach berechtigt, den Beklagten für das Nichteinreichen der Lohnsummenmeldung pro 2013 und 2015 jeweils mit einer Konventionalstrafe zu belegen: · Bezüglich des Jahres 2013 ist zu beachten, dass bis dahin keine Angaben des Beklagten über die Lohnsumme vorlagen. Die Klägerin hat daher zu Recht Ziff. 2.1.1 Abs. 1 und 2.1.2 Abs. 1 der Richtlinien angewandt und die Konventionalstrafe für eine erstmalige Pflichtverletzung auf CHF 3'000.00 festgesetzt. · Bezüglich des Jahres 2015 handelt es sich ebenfalls um eine erstmalige Pflichtverletzung, dies in dem Sinne, als der Beklagte für das Vorjahr 2014 die Lohnmeldung abgegeben hatte und nunmehr ein Fall von Ziff. 2.2.1 Abs. 1 der Richtlinien vorlag. Die Klägerin ging zu Gunsten des Beklagten davon aus, dass 2015 wie schon 2014 keine GAV FAR-pflichtigen Angestellten beschäftigt wurden, und sprach gemäss Ziff. 2.2.2 Abs. 2 der Richtlinien eine halbe Konventionalstrafe von CHF 1'500.00 aus. Mit CHF 3'000.00 und 1'500.00 blieb die Klägerin im untersten Bereich des Rahmens, den der GAV FAR für eine Konventionalstrafe vorgibt, so dass auch unter diesem Blickwinkel nicht gesagt werden kann, es seien unangemessen hohe Beträge festgesetzt worden. Weiter war die Klägerin berechtigt, pro Pflichtverletzung Kosten von jeweils CHF 500.00 in Rechnung zu stellen (Richtlinien Ziff. 9, KB-Nr. 16). 3.2.4  Die Betreibungskosten von CHF 73.30 müssen der Klägerin nicht separat zugesprochen werden: Diese Kosten werden nämlich von den Zahlungen des Beklagten vorab erhoben, d.h. sie werden im Ergebnis zur Schuld geschlagen und der Beklagte muss sie zusätzlich zum Betrag bezahlen, den die Klägerin zugesprochen erhält (vgl. SZS 2001 S. 568 E. 5). 3.3     Zusammenfassend wird der Beklagte in teilweiser Gutheissung der Klage verpflichtet, der Klägerin den Betrag von insgesamt CHF 5'500.00 (3'000 + 1'500 + 2 x 500) zu bezahlen. Der in der Betreibung Nr. [...] des Betreibungsamtes [...] erhobene Rechtsvorschlag wird im Umfang der zugesprochenen Forderung aufgehoben. Dies wird zwar in der Klage nicht ausdrücklich beantragt, doch ist das Versicherungsgericht nicht an die Begehren der Parteien gebunden (§ 6 Abs. 1 Verordnung des Kantonsrates über das Verfahren vor dem Versicherungsgericht und über die Organisation und das Verfahren der Schiedsgerichte in den Sozialversicherungen / VVV, BGS 125.922). 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(BGE 124 V 285 E. 3b S. 288). Bei leichtsinniger oder mutwilliger Prozessführung vor dem Versicherungsgericht ist eine Spruchgebühr von CHF 50.00 bis 600.00 zu erheben (s. § 148 Kantonaler Gebührentarif / GT, BGS 615.11) Der Beklagte bezahlte die in Rechnung gestellten Konventionalstrafen nicht. Als er dafür betrieben wurde, beglich er weder die Forderung noch bestritt er diese substanziiert, sondern erhob vielmehr Rechtsvorschlag, ohne diesen zu begründen. Im Prozess vor dem Versicherungsgericht wiederum reichte er keine Klageantwort ein. Mit diesem Verhalten macht der Beklagte deutlich, dass es ihm nicht darum geht, die Sach- und Rechtslage durch das Gericht überprüfen zu lassen, sondern er will lediglich seine Leistungspflicht möglichst lange hinausschieben. Deshalb rechtfertigt es sich, dem Beklagten die Kosten des Verfahrens vor dem Versicherungsgericht aufzuerlegen. Deren Höhe wird auf CHF 500.00 festgesetzt. 5.       Klagt eine Vorsorgeeinrichtung gegen einen Arbeitgeber und obsiegt sie, so hat sie bloss dann Anspruch auf eine Parteientschädigung, wenn dem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der beklagte Arbeitgeber für das Verfahren vor dem Versicherungsgericht kostenpflichtig ist, lässt sich somit nicht zwingend ableiten, dass der siegreichen Vorsorgeeinrichtung eine Entschädigung zusteht (BGE 127 V 205 E. 4c S. 208). 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14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