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VSBES.2025.7 vom 18. November 2025</w:t>
      </w:r>
    </w:p>
    <w:p>
      <w:r>
        <w:t>SO Obergericht, 2025-11-18, DE</w:t>
      </w:r>
    </w:p>
    <w:p>
      <w:r>
        <w:rPr>
          <w:b/>
        </w:rPr>
        <w:t xml:space="preserve">Quelle: </w:t>
      </w:r>
      <w:r>
        <w:t>https://mcp.opencaselaw.ch/entscheid/so_gerichte_VSBES.2025.7</w:t>
      </w:r>
    </w:p>
    <w:p>
      <w:r>
        <w:t>FR: SO_GERICHTE VSBES.2025.7 du 18 novembre 2025</w:t>
      </w:r>
    </w:p>
    <w:p>
      <w:r>
        <w:t>IT: SO_GERICHTE VSBES.2025.7 del 18 novembre 2025</w:t>
      </w:r>
    </w:p>
    <w:p>
      <w:pPr>
        <w:pStyle w:val="Heading2"/>
      </w:pPr>
      <w:r>
        <w:t>Erwägungen</w:t>
      </w:r>
    </w:p>
    <w:p>
      <w:r>
        <w:rPr>
          <w:b/>
        </w:rPr>
        <w:t>E. 16</w:t>
      </w:r>
    </w:p>
    <w:p>
      <w:r>
        <w:t>Januar 2015 weitgehend unverändert geblieben, kann auf die vorstehenden Ausführungen verwiesen werden, worin die psychiatrische Gutachterin der F.___ nachvollziehbar darlegte, dass im Zeitpunkt der Begutachtung keine relevanten psychischen Beeinträchtigungen mehr bestanden. Sodann macht die Beschwerdeführerin geltend, gemäss Seite 209 des psychiatrischen Teilgutachtens habe sie angegeben, sich maximal noch für eine Stunde konzentrieren zu können. Dies werde von der Gutachterin nicht angezweifelt, jedoch bei der Beurteilung der Arbeitsfähigkeit völlig unberücksichtigt gelassen. Dem ist entgegenzuhalten, dass im psychiatrischen Gutachten hierzu festgehalten wurde, Konzentration und Aufmerksamkeit seien unauffällig, der Subtraktionstest werde sicher durchgeführt. Dazu übereinstimmend wurde im neurologischen Teilgutachten in diesem Zusammenhang ausgeführt, die Beschwerdeführerin sei konzentriert sowie aufmerksam und durch äussere Reize nicht ablenkbar gewesen. Auch im internistischen Teilgutachten wurde hierzu vermerkt, die Beschwerdeführerin sei während der internistischen Untersuchung stets attent, aufmerksam, freundlich und kooperativ gewesen, Hinweise auf die anamnestisch reklamierten Konzentrationsstörungen hätten währenddessen nicht bestanden.</w:t>
      </w:r>
    </w:p>
    <w:p>
      <w:r>
        <w:t>Zusammenfassend kann somit auf das beweiswertige psychiatrische Teilgutachten der F.___ abgestellt werden. Gestützt auf dieses beweiswertige fachärztliche Teilgutachten, welches eine psychiatrisch bedingte Arbeitsunfähigkeit in überzeugender Weise verneint, kann auf eine Indikatorenprüfung verzichtet werden (BGE 143 V 418 E. 7.1 S. 429).</w:t>
      </w:r>
    </w:p>
    <w:p>
      <w:r>
        <w:t>8.      Wie bereits erwähnt, kann auf das neurologische und das internistische Teilgutachten der F.___ nicht abgestellt werden. Die Beschwerdeinstanz holt in der Regel ein Gerichtsgutachten ein,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In der Regel spricht der Umstand, dass die IV-Stelle im Rahmen von Art. 44 ATSG ein medizinisches Gutachten eingeholt hat, gegen die Annahme einer vollständig ungeklärten Frage. Im vorliegenden Fall ist die Konstellation aber insofern anders, dass das F.___-Gutachten gestützt auf die neue bundesgerichtliche Rechtsprechung (vgl. Urteil des Bundesgerichts 8C_122/2023 vom 26. Februar 2024; s. E. II. 7.2 hiervor) in beweisrechtlicher Hinsicht wie eine versicherungsinterne medizinische Beurteilung zu behandeln ist und demnach bereits relativ geringe Zweifel an der Zuverlässigkeit und Schlüssigkeit der ärztlichen Feststellungen genügen, damit darauf nicht mehr abgestellt werden kann. Die bisherigen Abklärungen haben daher aus heutiger Sicht beweisrechtlich nicht mehr den Stellenwert eines gestützt auf Art. 44 ATSG eingeholten Administrativgutachtens. Es rechtfertigt sich deshalb, den internistischen und den neurologischen Sachverhalt als bislang vollständig ungeklärt zu betrachten und die Sache zur Vornahme weiterer Abklärungen an die IV-Stelle zurückzuweisen, damitsie ein internistisches und ein neurologisches Gutachten einholt. Ergänzend ist darauf hinzuweisen, dass die Beschwerdegegnerin nach den erfolgten medizinischen Abklärungen eine aktuelle Haushaltsabklärung zu veranlassen hat, weshalb auf diesbezüglichen Rügen nicht einzugehen ist. Hiernach hat die Beschwerdeführerin über den Leistungsanspruch der Beschwerdeführerinneu zu befinden.</w:t>
      </w:r>
    </w:p>
    <w:p>
      <w:r>
        <w:t>9.      Demnach ist die Beschwerde in dem Sinn gutzuheissen und die angefochtene Verfügung vom 18. November 2024 aufzuheben.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der Beschwerdeführerin zurückerstattet.</w:t>
      </w:r>
    </w:p>
    <w:p>
      <w:r>
        <w:t>Demnach wirderkannt:</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