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VSBES.2025.260 vom 5. Mai 2026</w:t>
      </w:r>
    </w:p>
    <w:p>
      <w:r>
        <w:t>SO Obergericht, 2026-05-05, DE</w:t>
      </w:r>
    </w:p>
    <w:p>
      <w:r>
        <w:rPr>
          <w:b/>
        </w:rPr>
        <w:t xml:space="preserve">Quelle: </w:t>
      </w:r>
      <w:r>
        <w:t>https://mcp.opencaselaw.ch/entscheid/so_gerichte_VSBES.2025.260</w:t>
      </w:r>
    </w:p>
    <w:p>
      <w:r>
        <w:t>FR: SO_GERICHTE VSBES.2025.260 du 5 mai 2026</w:t>
      </w:r>
    </w:p>
    <w:p>
      <w:r>
        <w:t>IT: SO_GERICHTE VSBES.2025.260 del 5 maggio 2026</w:t>
      </w:r>
    </w:p>
    <w:p>
      <w:pPr>
        <w:pStyle w:val="Heading2"/>
      </w:pPr>
      <w:r>
        <w:t>Erwägungen</w:t>
      </w:r>
    </w:p>
    <w:p>
      <w:r>
        <w:rPr>
          <w:b/>
        </w:rPr>
        <w:t>E. 3</w:t>
      </w:r>
    </w:p>
    <w:p>
      <w:r>
        <w:t>3.1     Da es sich nicht um eine komplizierte Sache mit hohem Streitwert handelt und die Interessenwahrung keinen Arbeitsaufwand erfordert, der den Rahmen dessen überschreitet, was der Einzelne üblicher- und zumutbarerweise nebenbei zur Besorgung der persönlichen Angelegenheiten auf sich zu nehmen hat, besteht kein Anspruch auf eine Parteientschädigung (BGE127 V 207 E. 4b).</w:t>
      </w:r>
    </w:p>
    <w:p>
      <w:r>
        <w:t>3.2     Bei Streitigkeiten über Leistungen ist das Verfahren kostenpflichtig, wenn dies im jeweiligen Einzelgesetz vorgesehen ist (Art. 61 lit. fbisATSG). Da das AHVG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