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VSBES.2024.52 vom 9. Februar 2024</w:t>
      </w:r>
    </w:p>
    <w:p>
      <w:r>
        <w:t>SO Obergericht, 2024-02-09, DE</w:t>
      </w:r>
    </w:p>
    <w:p>
      <w:r>
        <w:rPr>
          <w:b/>
        </w:rPr>
        <w:t xml:space="preserve">Quelle: </w:t>
      </w:r>
      <w:r>
        <w:t>https://mcp.opencaselaw.ch/entscheid/so_gerichte_VSBES.2024.52</w:t>
      </w:r>
    </w:p>
    <w:p>
      <w:r>
        <w:t>FR: SO_GERICHTE VSBES.2024.52 du 9 février 2024</w:t>
      </w:r>
    </w:p>
    <w:p>
      <w:r>
        <w:t>IT: SO_GERICHTE VSBES.2024.52 del 9 febbraio 2024</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9. Februar 2024 eingetreten ist (Ueli Kieserin: ATSG-Kommentar, 4. Aufl., Zürich 2020, Art. 61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obwohl die entsprechende Verfügung der Beschwerdegegnerin erst nach dem 1. Januar 2022 erging.</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Ein medizinischer Aktenbericht ist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 (Urteil des Bundesgerichts 9C_127/2021 vom 4. November 2021 E. 2.2.2 in fine).</w:t>
      </w:r>
    </w:p>
    <w:p>
      <w:r>
        <w:t>5.      Streitig und zu prüfen ist, ob die Beschwerdegegnerin dem Beschwerdeführer mit angefochtener Verfügung vom 9. Februar 2024 (A.S. 1 ff.) zu Recht eine befristete ganze Invalidenrente zugesprochen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12. Juni 2003  bestanden hat, mit demjenigen zur Zeit der streitigen neuen Verfügung vom 9. Februar 2024 (BGE 130 V 71 E. 3.1 S. 73, mit Hinweisen; Urteil des Bundesgerichts 8C_819/2013 vom 4. Februar 2014 E. 2).</w:t>
      </w:r>
    </w:p>
    <w:p>
      <w:r>
        <w:t>5.1    Im Zeitpunkt der in Rechtskraft erwachsenen ursprünglichen Rentenverfügung vom 12. Juni 2003 erfolgte die Verneinung eines Leistungsanspruchs durch die Beschwerdegegnerin im Wesentlichen gestützt auf das polydisziplinäre (internistische, psychiatrische, rheumatologische und pneumologische) Gutachten der Gutachterstelle B.___ (nachfolgend: B.___), [...], vom 28. März 2003 (IV-Nrn. 21.1  21.5). Im polydisziplinären B.___-Gutachten wurden folgende Diagnosen gestellt (IV-Nr. 21.2 S. 13 f.):</w:t>
      </w:r>
    </w:p>
    <w:p>
      <w:r>
        <w:t>Diagnosen mit Einfluss auf die Arbeitsfähigkeit</w:t>
      </w:r>
    </w:p>
    <w:p>
      <w:r>
        <w:t>Diagnosen ohne Einfluss auf die Arbeitsfähigkeit</w:t>
      </w:r>
    </w:p>
    <w:p>
      <w:r>
        <w:t>Zur Beurteilung hielten die Gutachter fest, in der Konsens-Besprechung präsentiere sich für die Untersucher ein Explorand mit einer polymorbiden Grundproblematik, die aus der Gesamtsicht sämtlicher somatischer und psychiatrischer Gesichtspunkte die Arbeitsfähigkeit für leichte bis mittelschwere Tätigkeiten nicht deutlich einschränke. Dem Beschwerdeführer seien also leichte bis mittelschwere, adaptierte Tätigkeiten ganztägig zumutbar bei einer zu attestierenden Leistungseinschränkung um 25 %. Dem Beschwerdeführer wäre also zuzumuten, ganztägig eine Tätigkeit durchzuführen, und wenn dies möglich wäre, vermehrte Pausen während der Arbeit durchzuführen oder ein verlangsamtes Arbeitstempo vorzunehmen. Es wäre auch denkbar, eine sechs-stündige Tätigkeit, beispielsweise aufgeteilt auf vier plus zwei oder drei plus drei Stunden täglich durchzuführen, indem der Beschwerdeführer nach der Arbeit genügend Zeit hätte, sich zu erholen. Nach Rücksprache in der Konsens-Besprechung sei eine derartige Leistungseinbusse von 25 % als absolute obere Grenze anzusehen und es seien ihres Erachtens keine weiteren Zuschläge mehr geltend zu machen (IV-Nr. 21.2 S. 14).</w:t>
      </w:r>
    </w:p>
    <w:p>
      <w:r>
        <w:t>5.2    Bei Erlass der vorliegend angefochtenen Verfügung vom 9. Februar 2024 präsentierte sich der medizinische Sachverhalt im Wesentlichen wie folgt:</w:t>
      </w:r>
    </w:p>
    <w:p>
      <w:r>
        <w:t>5.2.1    Der Beschwerdeführer unterzog sich am 8. Januar 2019 im Spital D.___ einer Operation an seinem rechten Knie (Kniearthroskopie rechts mit medialer Teilmeniskektomie Hinterhorn sowie Débridement, TVOT mit Tomofix rechts) bei nachfolgenden Diagnosen (IV-Nr. 54 S.</w:t>
      </w:r>
    </w:p>
    <w:p>
      <w:r>
        <w:rPr>
          <w:b/>
        </w:rPr>
        <w:t>E. 6</w:t>
      </w:r>
    </w:p>
    <w:p>
      <w:r>
        <w:t>6.1    Umstritten ist, ob der Gesundheitszustand des Beschwerdeführers genügend abgeklärt wurde und der medizinische Sachverhalt gestützt auf die vorliegenden Akten beurteilt werden kann. Die Beschwerdegegnerin hat einzig bei Dr. med. E.___ Einschätzungen zur Arbeitsfähigkeit des Beschwerdeführers eingeholt. Nach der am 8. Januar 2019 erfolgten Operation (vgl. E. II. 5.2.1 hiervor), äusserte sich Dr. med. E.___ dahingehend, dass eine dauerhafte Arbeitstätigkeit im 100%-Pensum im angestammten Tätigkeitsfeld des Beschwerdeführers aus Gründen der vermutlich fortschreitenden Arthroseentwicklung nicht mehr realistisch sei. Die bisherige Tätigkeit sei dem Beschwerdeführer zwei Stunden pro Tag zumutbar. Eine dem Leiden angepasste Tätigkeit könne der Beschwerdeführer sechs Stunden pro Tag ausüben. Eine volle Wiedereingliederung sei nicht mehr realistisch. Eine leichte, wechselbelastende Tätigkeit könnte im 50%-Pensum weiter realistisch sein. Ein knieschonendes Arbeitsumfeld sei dringend anzuraten, ein volles Arbeitspensum jedoch dauerhaft nicht realistisch (vgl. E. II. 5.2.3 hiervor). Am 22. August 2019 folgte der nächste operative Eingriff am rechten Knie des Beschwerdeführers (vgl. E. II. 5.2.4 hiervor), woraufhin Dr. med. E.___ festhielt, dass sich eine massive Gonarthrose zeige mit eingeschränkter Beweglichkeit. Bei rein sitzender, gelenkschonender, insbesondere knieschonender Tätigkeit, mit der Möglichkeit, die Lage zu verändern und ausschliesslich leichten körperlichen Belastungen sei gegebenenfalls eine 50%ige Arbeitsfähigkeit gegeben. Ab Ende 2020 könne mit einer Erhöhung der Arbeitsfähigkeit gerechnet werden. Bis zu einer 80%igen Arbeitsfähigkeit in genanntem Tätigkeitsfeld wäre längerfristig denkbar, im angestammten Beruf als Flachdachisoleur sei der Beschwerdeführer jedoch weiterhin arbeitsunfähig (vgl. E. II. 5.2.5 hiervor). Danach folgten weitere Operationen, so wurde unter anderem am 4. September 2020 eine totalprothetische Versorgung des rechten Kniegelenkes durchgeführt, dies aufgrund des Fortschreitens der Gelenkdestruktion im Rahmen einer postinfektiösen Gonarthrose (vgl. E. II. 5.2.6 hiervor). Weiter kam es am 2. November 2020 zu einem erneuten Eingriff (vgl. E. II. 5.2.7 hiervor). Daraufhin hielt Dr. med. E.___ fest, eine klinisch-radiologische Verlaufskontrolle werde in vier Wochen stattfinden, dann sollte eine 20%ige Verweistätigkeit wieder möglich sein. Eine Steigerung der Arbeitsfähigkeit sei angesichts der Gesamtsituation allerdings längerfristig nicht mehr realistisch (vgl. E. II. 5.2.8 hiervor). Der nächste Eingriff erfolgte am 24. März 2021 im Spital G.___ (vgl. E. II. 5.2.9 hiervor). Dem Beschwerdeführer wurde postoperativ eine 100%ige Arbeitsunfähigkeit attestiert. Die behandelnden Ärzte hielten fest, dass zuvor von ihnen keine Zeugnisse ausgestellt worden seien, wobei in Anbetracht der schweren Beschwerden sicherlich keine Arbeitstätigkeit bestanden habe. Die Prognose bezüglich der Arbeitsunfähigkeit könne daher erst im Verlauf gestellt werden. Nun müsse erst einmal das Operationsergebnis abgewartet werden. Im weiteren Verlauf berichteten die behandelnden Ärzte über einen positiven Verlauf bei der komplexen Situation des Beschwerdeführers und den mehrfachen Operationen. Mit Bericht vom 23. September 2021 wurde die Behandlung im Spital G.___ abgeschlossen. Es wurde von einem guten Verlauf sechs Monate postoperativ berichtet. Klinisch sei der Quadrizeps rechts noch nicht vollständig auftrainiert. Dementsprechend werde der Beschwerdeführer die von der Physiotherapie instruierten Übungen noch fortsetzen. Zur Arbeitsfähigkeit des Beschwerdeführers äusserten sich die behandelnden Ärzte jedoch nicht. Und die Beschwerdegegnerin unterliess es in der Folge auch, bei den behandelnden Ärzten im Spital G.___ eine Beurteilung der Arbeitsfähigkeit einzuholen. Die Einschätzung des RAD beruht lediglich auf einer kurzen Aktenbeurteilung, in welcher weder eine Auseinandersetzung mit den vorhandenen medizinischen Berichten erfolgte, noch die Einschätzung des RAD begründet wurde, es bestehe in einer angepassten Tätigkeit eine 100%ige Arbeitsfähigkeit ohne Leistungsminderung ab dem 22. September 2021.Im Übrigen erscheint es fraglich, ob gestützt auf die vorliegende Aktenlage und ohne dass die Beschwerdegegnerin eine Beurteilung der Arbeitsfähigkeit durch die behandelnden Ärzte eingeholt hat, eine reine Aktenbeurteilung ausreichend war. So ist eine solche nur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 (Urteil des Bundesgerichts 9C_415/2019 vom 14. Oktober 2019 E. 4.2 mit Hinweisen). Diese Voraussetzungen sind angesichts der vorliegenden Aktenlage nicht erfüllt. Schliesslich ist auch zu berücksichtigen, dass Dr. med. H.___ kein Spezialarzt für orthopädische Erkrankungen ist. Zwar benötigenRAD-Ärzte nicht zwingend einen spezifischen Facharzttitel, wenn sie lediglich die vorhandenen Akten würdigen, ohne einen Untersuchungsbericht im Sinne vonArt. 49 Abs. 2 IVVzu erstellen. Vorliegend beschränkte sich Dr. med. H.___ jedoch nicht darauf, die vorhandenen Akten zu würdigen. Vielmehr nahm er eine eigenständige medizinische Beurteilung des orthopädischen Leidens vor, was eine spezifische fachärztliche Qualifikation voraussetzt, zumal seine Beurteilung die Grundlage für die Beurteilung des Leistungsanspruchs bildete (vgl. Urteil des Bundesgerichts 8C_342/2023 vom 7. Dezember 2023 E. 5.7.3 mit Hinweisen). Demnach kann der vorliegende Fall nicht ohne weitere medizinische Abklärungen beurteilt werden.</w:t>
      </w:r>
    </w:p>
    <w:p>
      <w:r>
        <w:t>6.2    Zusammenfassend bestehen an den Feststellungen des versicherungsinternen RAD-Arztes Dr. med. H.___ zumindest geringe Zweifel. Diese Beurteilung genügt daher nicht, um eine vollschichtige Arbeitsfähigkeit in einer angepassten Tätigkeit mit überwiegender Wahrscheinlichkeit nachzuweisen (vgl. E. II. 4.3 hiervor). Die Beschwerdegegnerin hätte vielmehr aufgrund der damaligen Aktenlage weitere medizinische Abklärungen veranlassen müssen, bevor sie am 9. Februar 2024 in der Sache verfügte, was sie jedoch unterliess. Die Beschwerde ist deshalb, wie vom Beschwerdeführer beantragt, in dem Sinne gutzuheissen, als die angefochtene Verfügung aufgehoben und die Angelegenheit an die Beschwerdegegnerin zurückgewiesen wird. Diese hat medizinische Abklärungen, insbesondere aus orthopädischer Sicht, zu veranlassen. Im Rahmen der ohnehin zu veranlassenden Abklärungen in orthopädischer Hinsicht wird die Beschwerdegegnerin der Vollständigkeit halber auch abzuklären haben, ob aufgrund der im Austrittsbericht des Spitals G.___ vom 1. April 2021 gestellten Diagnosen (vgl. E. II. 5.2.11 hiervor) eine zusätzliche Einschränkung der Arbeitsfähigkeit des Beschwerdeführers vorliegt und weitere Abklärungen angezeigt wären. Anschliessend wird die Beschwerdegegnerin neu über den Leistungsanspruch des Beschwerdeführers zu befinden haben.</w:t>
      </w:r>
    </w:p>
    <w:p>
      <w:r>
        <w:rPr>
          <w:b/>
        </w:rPr>
        <w:t>E. 7</w:t>
      </w:r>
    </w:p>
    <w:p>
      <w:r>
        <w:t>7.1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(s. § 160 Abs. 4 Kantonaler Gebührentarif [GT, BGS 615.11] i.V.m. Beschluss der Gerichtsverwaltungskommission GVB.2022.111).</w:t>
      </w:r>
    </w:p>
    <w:p>
      <w:r>
        <w:t>7.2    Rechtsanwalt Zenari hat am 26. April 2024 (A.S. 45 f.) eine Honorarnote über einen Aufwand von 8,86 Stunden eingereicht. In Anbetracht von Aufwand und Schwierigkeit des Prozesses ist die Parteientschädigung, wie in der Kostennote verlangt, auf CHF 2'696.65 festzusetzen (8,86 Stunden zum geltend gemachten Stundenansatz von CHF 270.00 zuzüglich Auslagen von CHF 102.40 und MwSt.).</w:t>
      </w:r>
    </w:p>
    <w:p>
      <w:r>
        <w:t>7.3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 Der vom Beschwerdeführer bezahlte Kostenvorschuss von CHF 600.00 ist ihm demzufolge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