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VSBES.2024.211 vom 23. Dezember 2025</w:t>
      </w:r>
    </w:p>
    <w:p>
      <w:r>
        <w:t>SO Obergericht, 2025-12-23, DE</w:t>
      </w:r>
    </w:p>
    <w:p>
      <w:r>
        <w:rPr>
          <w:b/>
        </w:rPr>
        <w:t xml:space="preserve">Quelle: </w:t>
      </w:r>
      <w:r>
        <w:t>https://mcp.opencaselaw.ch/entscheid/so_gerichte_VSBES.2024.211</w:t>
      </w:r>
    </w:p>
    <w:p>
      <w:r>
        <w:t>FR: SO_GERICHTE VSBES.2024.211 du 23 décembre 2025</w:t>
      </w:r>
    </w:p>
    <w:p>
      <w:r>
        <w:t>IT: SO_GERICHTE VSBES.2024.211 del 23 dicembre 2025</w:t>
      </w:r>
    </w:p>
    <w:p>
      <w:pPr>
        <w:pStyle w:val="Heading2"/>
      </w:pPr>
      <w:r>
        <w:t>Erwägungen</w:t>
      </w:r>
    </w:p>
    <w:p>
      <w:r>
        <w:rPr>
          <w:b/>
        </w:rPr>
        <w:t>E. 12</w:t>
      </w:r>
    </w:p>
    <w:p>
      <w:r>
        <w:t>Juni 2024 aufgehoben. Es wird festgestellt, dass der Beschwerdeführer vom 1. Juli 2019 bis 28. Februar 2021 Anspruch auf eine ganze Rente hat und dass vom 1. März 2021 bis 31. März 2023 kein Rentenanspruch besteht.</w:t>
      </w:r>
    </w:p>
    <w:p>
      <w:r>
        <w:t>2.Zur Klärung eines allfälligen Leistungsanspruchs in der darauffolgenden Zeit, d.h. ab 1. April 2023, wird die Sache an die IV-Stelle zurückgewiesen, damit sie im Sinne der Erwägungen verfährt und hiernach neu darüber entscheidet.</w:t>
      </w:r>
    </w:p>
    <w:p>
      <w:r>
        <w:t>3.Die IV-Stelle des Kantons Solothurn hat dem Beschwerdeführer eine Parteientschädigung von CHF 2'500.00 (inkl. Auslagen und MwSt) zu bezahlen.</w:t>
      </w:r>
    </w:p>
    <w:p>
      <w:r>
        <w:t>4.Die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