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VSBES.2023.98 vom 6. Mai 2024</w:t>
      </w:r>
    </w:p>
    <w:p>
      <w:r>
        <w:t>SO Obergericht, 2024-05-06, DE</w:t>
      </w:r>
    </w:p>
    <w:p>
      <w:r>
        <w:rPr>
          <w:b/>
        </w:rPr>
        <w:t xml:space="preserve">Quelle: </w:t>
      </w:r>
      <w:r>
        <w:t>https://mcp.opencaselaw.ch/entscheid/so_gerichte_VSBES.2023.98</w:t>
      </w:r>
    </w:p>
    <w:p>
      <w:r>
        <w:t>FR: SO_GERICHTE VSBES.2023.98 du 6 mai 2024</w:t>
      </w:r>
    </w:p>
    <w:p>
      <w:r>
        <w:t>IT: SO_GERICHTE VSBES.2023.98 del 6 maggio 2024</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August 2018 strittig sind, ist das neue Recht anwendbar.</w:t>
      </w:r>
    </w:p>
    <w:p>
      <w:r>
        <w:rPr>
          <w:b/>
        </w:rPr>
        <w:t>E. 2</w:t>
      </w:r>
    </w:p>
    <w:p>
      <w:r>
        <w:t>2.1Soweit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w:t>
      </w:r>
    </w:p>
    <w:p>
      <w:r>
        <w:t>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des Bundesgerichts 8C_727/2012 vom 21. Dezember 2012 E. 3.2.2 und 8C_585/2010 vom 5. November 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w:t>
      </w:r>
    </w:p>
    <w:p>
      <w:r>
        <w:t>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w:t>
      </w:r>
    </w:p>
    <w:p>
      <w:r>
        <w:t>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Holzer,Bundesgesetz über die Unfallversicherung, 4. Auflage 2012, S. 55).</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w:t>
      </w:r>
    </w:p>
    <w:p>
      <w:r>
        <w:t>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rPr>
          <w:b/>
        </w:rPr>
        <w:t>E. 3.3</w:t>
      </w:r>
    </w:p>
    <w:p>
      <w:r>
        <w:t>S. 182). Im vorliegenden Fall geht es nicht darum, dass das Unfallereignis als solches, das vom Ablauf her nicht als schwerer Unfall zu qualifizieren ist, einen psychischen Gesundheitsschaden verursacht hätte, sondern die Zeit danach. Ein haftungsrelevanter Kausalzusammenhang ist daher zu verneinen.</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ob die Beschwerdegegnerin zu Recht ihre weitergehende Leistungspflicht bezüglich des Ereignisses vom 17. August 2018 mit Einspracheentscheid vom 30. März 2023 (A.S. 1 ff.) verneint und ihre Leistungen per 16. Juni 2021 eingestellt hat. Für diesen Entscheid hat die Beschwerdegegnerin auf die beiden von ihr eingeholten, versicherungsmedizinischen Gutachten abgestellt. Dazu ist einleitend festzuhalten, dass beide Gutachten in Kenntnis der gesamten Aktenlage, nach erfolgter Untersuchung des Beschwerdeführers mit Berücksichtigung von dessen subjektiven Angaben und von zwei auf dem entsprechenden Gebiet ausgewiesenen Fachärzten (Orthopäden) erstellt wurden. Insofern sind die Anforderungen an eine beweiskräftige Expertise erfüllt (vgl. dazu E. II. 4.2 hiervor).</w:t>
      </w:r>
    </w:p>
    <w:p>
      <w:r>
        <w:t>5.4    Der Beschwerdeführer weist in seiner Beschwerde auch darauf hin, dass er sich seit März 2022 in psychiatrische Behandlung gegeben habe. Diese Behandlung sei nötig geworden, weil er die ganzen Abklärungen, Vermutungen vom UVG-Versicherer, Gutachtern und der IV nicht mehr verstanden habe und ihn dies sehr belaste. Hierzu ist festzuhalten, dass im vorliegenden Fall unfallbedingte Folgen des Ereignisses vom 17. August 2018 geprüft werden müssen. Wenn der Beschwerdeführer aufgrund der Gesamtsituation in eine psychische Belastungssituation geraten ist, die eine psychiatrisch-psychotherapeutische Behandlung zur Folge hat, so ist dazu festzuhalten, dass es zwar nicht ausgeschlossen ist, dass psychische Gesundheitsschäden durch die Unfallversicherung gedeckt sind. Jedoch steht die Unfallversicherung nur für Schäden ein, wenn diese sowohl in einem natürlichen wie auch in einem adäquaten Kausalzusammenhang mit dem schädigenden Ereignis stehen (vgl. (BGE 129 V 177 E.</w:t>
      </w:r>
    </w:p>
    <w:p>
      <w:r>
        <w:rPr>
          <w:b/>
        </w:rPr>
        <w:t>E. 6</w:t>
      </w:r>
    </w:p>
    <w:p>
      <w:r>
        <w:t>6.1    Zusammenfassend ist die Unfallkausalität zu verneinen und es ist nicht zu beanstanden, dass die Beschwerdegegnerin ihre weitergehende Leistungspflicht im Zusammenhang mit dem Unfallereignis vom 17. August 2018 verneinte und ihre Leistungen per 16. Juni 2021 einstellte. Zudem sind die gestützt auf die vorgehenden Ausführungen vom Beschwerdeführer beantragten weiteren medizinischen Untersuchungen in antizipierter Beweiswürdigung abzuweisen. Somit ist die Beschwerde abzuweisen.</w:t>
      </w:r>
    </w:p>
    <w:p>
      <w:r>
        <w:t>6.3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r>
        <w:t>Auf die gegen den vorliegenden Entscheid erhobene Beschwerde trat das Bundesgericht mit Urteil 8C_275/2024 vom 28. Juni 2024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