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VSBES.2023.95 vom 4. Januar 2024</w:t>
      </w:r>
    </w:p>
    <w:p>
      <w:r>
        <w:t>SO Obergericht, 2024-01-04, DE</w:t>
      </w:r>
    </w:p>
    <w:p>
      <w:r>
        <w:rPr>
          <w:b/>
        </w:rPr>
        <w:t xml:space="preserve">Quelle: </w:t>
      </w:r>
      <w:r>
        <w:t>https://mcp.opencaselaw.ch/entscheid/so_gerichte_VSBES.2023.95_d20240104</w:t>
      </w:r>
    </w:p>
    <w:p>
      <w:r>
        <w:t>FR: SO_GERICHTE VSBES.2023.95 du 4 janvier 2024</w:t>
      </w:r>
    </w:p>
    <w:p>
      <w:r>
        <w:t>IT: SO_GERICHTE VSBES.2023.95 del 4 gennaio 2024</w:t>
      </w:r>
    </w:p>
    <w:p>
      <w:pPr>
        <w:pStyle w:val="Heading2"/>
      </w:pPr>
      <w:r>
        <w:t>Regeste</w:t>
      </w:r>
    </w:p>
    <w:p>
      <w:r>
        <w:t>Invalidenrente</w:t>
      </w:r>
    </w:p>
    <w:p>
      <w:pPr>
        <w:pStyle w:val="Heading2"/>
      </w:pPr>
      <w:r>
        <w:t>Erwägungen</w:t>
      </w:r>
    </w:p>
    <w:p>
      <w:r>
        <w:rPr>
          <w:b/>
        </w:rPr>
        <w:t>E. 1</w:t>
      </w:r>
    </w:p>
    <w:p>
      <w:r>
        <w:t>Es sei die Verfügung vom 1. März 2023 aufzuheben und es sei dem Beschwerdeführer mit Wirkung ab 1. Oktober 2019 eine ganze Rente zuzusprechen.</w:t>
      </w:r>
    </w:p>
    <w:p>
      <w:r>
        <w:rPr>
          <w:b/>
        </w:rPr>
        <w:t>E. 2</w:t>
      </w:r>
    </w:p>
    <w:p>
      <w:r>
        <w:t>Unter Kosten- und Entschädigungsfolge. 3.       Mit Eingabe vom 13. Juli 2023 (A.S. 20) verzichtet die Beschwerdegegnerin auf Einreichung einer begründeten Beschwerdeantwort und schliesst auf Abweisung der Be schwerde. 4.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3.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4.       Die Beschwerdegegnerin stützt die angefochtene Verfügung vom 1. März 2023 im Wesentlichen auf den RAD-Bericht von Dr. med. B.___, Praktischer Arzt, vom 21. Juli 2022 (IV-Nr. 45). Die Einschätzungen des RAD-Arztes sind in medizinischer Hinsicht unbestritten und stimmen mit den übrigen medizinischen Akten überein, weshalb darauf abgestellt werden kann. Im RAD-Bericht wurden gestützt auf die medizinischen Vorakten folgende Diagnosen gestellt: Diagnosen mit Auswirkungen auf die Arbeitsfähigkeit: - Persistierende Schulterbeschwerden linksseitig und Kapsulitis adhäsiva mit / bei · St.n. glenohumeralen Infiltrationen Schulter links · St.n. Schulterarthroskopie links mit subpektoraler Bicepssehnentenodese und Single Row-Rekonstruktion von Subscapularis- und Supraspinatussehne am 18. Januar 2019 bei o St.n. traumatischer anterosuperiorer Rotatorenmanschettenläsion links mit Längssplitting der Bicepssehne und Subluxation derselben bei medialer und lateraler Pulley-Zerreissung, Subscapularissehnenruptur und artikularseitiger Partialläsion Supraspinatussehne von 80 % mit / bei § St.n. Schulterdistorsion links vom 10. Oktober 2018 Diagnosen ohne Auswirkungen auf die Arbeitsfähigkeit: - Diabetes mellitus Typ II - arterielle Hypertonie - Adipositas - Prostatahyperplasie - Status nach Zirkumzision am 15. Januar 2021 bei Phimose mit persistierender Balanitis Weiter führte der RAD-Arzt zur Beurteilung aus, als funktionelle Einschränkung bestehe eine endgradig eingeschränkte Schulterbeweglichkeit links (adominant). Zumutbar seien körperlich leichte Tätigkeiten ganztags über 8.5 Stunden ohne zusätzliche Leistungsminderung. Zu vermeiden seien Zwangshaltungen, repetitives Heben von Lasten über Brusthöhe, armbelastende Tätigkeiten mit Arbeiten über Bauchhöhe, Überkopfarbeiten und das Besteigen von Leitern und Gerüsten. In Ausnahmefällen und in nicht repetitiver Weise könnten Gewichte bis 10 kg gehoben und getragen werden. Der RAD halte die angestammte körperlich teils schwere Arbeit mit Heben und Tragen von Lasten bis 30 kg, sowie Besteigen von Leitern, für dauerhaft nicht mehr zumutbar. Zum Verlauf der Arbeitsfähigkeit hielt der RAD-Arzt fest, seit dem 27. November 2018 bestehe in der angestammten Tätigkeit eine 100%ige Arbeitsunfähigkeit (siehe Intake-Gespräch vom 12. August 2019; IV-Nr. 8). In einer angepassten Tätigkeit sei von folgendem Verlauf der Arbeitsfähigkeit auszugehen: 100 % arbeitsunfähig vom 27. November 2018 bis 8. Oktober 2019; 20 % arbeitsunfähig ab dem 9. Oktober 2019 (100%-Zeitpensum und mögliche geringe Leistungsminderung von höchstens 20 % wegen schmerzbedingt leicht erhöhtem Pausenbedarf) bis spätestens zur gutachterlichen Untersuchung vom 18. Oktober 2021 (vgl. Orthopädisches Gerichtsgutachten vom 10. November 2021 [IV-Nr. 42.13] aus dem UV-Verfahren vor dem Versicherungsgericht [VSBES.2020.200]); 0 % arbeitsunfähig ab dem 19. Oktober 2021. Diese Einschätzungen basierten auf dem Ärztlichen Zeugnis der C.___ vom 9. Oktober 2019 (100 % AUF für körperliche Tätigkeiten; IV-Nr. 33.68), und den Angaben der Klinik für Orthopädie und Traumatologie des C.___ im Bericht vom 22. November 2019 (IV-Nr. 20.11), sowie diversen anderen Untersuchungsbefunden und der gutachterlichen Untersuchung vom 18. Oktober 2021 (IV-Nr. 42.13). 5.       Gestützt auf den beweiswertigen RAD-Bericht vom 21. Juli 2022 nimmt die Beschwerdegegnerin eine Berechnung des Invaliditätsgrades vor, welche ebenfalls nicht bestritten wird. 5.1.1  Der Beschwerdeführer hat sich am 13. September 2019 zum Bezug von Rentenleistungen angemeldet. Somit könnte ein allfälliger Rentenanspruch in Anwendung von Art. 29 Abs. 1 IVG frühestens ab 1. März 2020 entstehen. Sodann ist bei der Bestimmung der durchschnittlichen Arbeitsunfähigkeit während der Wartezeit gemäss Art. 28 Abs. 1 IVG ausschliesslich die Arbeitsunfähigkeit im bisherigen Beruf oder im bisherigen Aufgabenbereich massgebend. So bezieht sich Art. 28 Abs. 1 lit. b IVG ausdrücklich auf die die Definition des Begriffs der Arbeitsunfähigkeit aus Art. 6 ATSG. Demnach ist Arbeitsunfähigkeit die durch eine Beeinträchtigung der körperlichen, geistigen oder psychischen Gesundheit bedingte, volle oder teilweise Unfähigkeit, im bisherigen Beruf oder Aufgabenbereich zumutbare Arbeit zu leisten. Diesbezüglich ist aus den vorstehenden Ausführungen des RAD-Arztes ersichtlich, dass das Wartejahr per 1. November 2019 abgelaufen ist, womit das vor dem 1. Januar 2022 – geltende Recht anwendbar ist. Demnach bestand die 100%ige Arbeitsunfähigkeit in der angestammten Tätigkeit erst seit dem 27. November 2018, und nicht wie in der Beschwerdeschrift ausgeführt bereits seit dem Unfall vom 10. Oktober 2018. So arbeitete der Beschwerdeführer nach dem Unfall noch zwei Monate weiter, was er denn auch anlässlich des Intakegesprächs vom 12. August 2019 (IV-Nr. 8) bestätigte. 5.1.2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5.2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Da der Beschwerdeführer seine angestammte Tätigkeit invaliditätsbedingt verloren hat, hat die Beschwerdegegnerin zurecht auf das dort zuletzt erzielte Einkommen von CHF 6'929.00 x 13 abgestellt, womit sich für das Jahr 2020 ein Valideneinkommen von CHF 90'077.00 ergibt. 5.3     Für das Invalideneinkommen massgebend ist dasjenige Entgelt, welches die versicherte Person aufgrund ihres konkreten Gesundheitsschadens zumutbarerweise noch zu erzielen in der Lage wäre (Art. 16 ATSG). Da der Beschwerdeführer im Zeitpunkt des Erlasses der angefochtenen Verfügung noch keine angepasste Tätigkeit in dem ihm zumutbaren Vollpensum ausgeübt hat, ist es ebenfalls nicht zu beanstanden, dass die Beschwerdegegnerin das Invalideneinkommen gestützt auf einen Tabellenlohn der schweizerischen Lohnstrukturerhebung (TA1_tirage_skill_level 2020 Ziffer Total Niveau 1 Männer = CHF 5'261.00 x 12 Monate : 40 x 41,7 Wochenstunden) errechnet hat. Daraus resultiert ein Invalideneinkommen von CHF 65'815.00. 5.4     Zusammenfassend bleibt es somit bei dem in der angefochtenen Verfügung errechneten Invaliditätsgrad von 27 %, womit der Beschwerdeführer gestützt darauf keinen Rentenanspruch hat. 6.       Der Beschwerdeführer stellt sich jedoch auf den Standpunkt, aufgrund seines fortgeschrittenen Alters habe er seine Restarbeitsfähigkeit nicht mehr verwerten können. 6.1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460). Die Frage der Verwertbarkeit der (Rest-) Arbeitsfähigkeit beurteilt sich auch bei vorgerücktem Alter bezogen auf einen ausgeglichenen Arbeitsmarkt.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(Urteil des Bundesgerichts vom 8C_28/2017 vom 19. Juni 2017 E. 3.2 und 3.3 mit Hinweisen). 6.2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Beurteilung der Frage, ob die festgestellte Arbeitsfähigkeit bei vorgerücktem Alter noch verwertbar sei, ist der Zeitpunkt massgebend, indem die medizinische Zumutbarkeit einer (Teil-)Erwerbstätigkeit feststeht (BGE 138 V 457 E. 3.3 S. 462). Dies ist gegeben, sobald die medizinischen Unterlagen diesbezüglich eine zuverlässige Sachverhaltsfeststellung erlauben (Urteil des Bundesgerichts 8C_36/2018 vom 6. Juni 2018 E. 4.1). 6.3     Das Bundesgericht hatte sich in den letzten Jahren wiederholt mit der Frage zu befassen, ob eine versicherte Person im vorgerückten Alter ihre wiedererlangte (Teil-)Arbeitsfähigkeit auf dem ausgeglichenen Arbeitsmarkt verwerten könne. 6.3.1  Das Eidg. Versicherungsgericht (EVG) erachtete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des EVG I 376/05 vom 5. August 2005, insb.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des Bundesgerichts I 304/06 vom 22. Januar 2007 E. 4.1 und 4.2). Ebenso entschieden wurde bei einem Versicherten mit einer Arbeitsfähigkeit von 80 % (volles Pensum mit um 20 % reduzierter Leistung in angepasster Tätigkeit), dessen verbleibende Aktivitätsdauer im massgebenden Zeitpunkt knapp vier Jahre betrug, der keine Berufsausbildung aufwies und der als Hilfsmaurer, Strassenbauarbeiter und Lagerangestellter gearbeitet hatte (Urteil des Bundesgerichts 8C_910/2015 vom 18. Mai 2016 E. 4.3.2 – 4.3.4). Ebenfalls bejaht wurde die Verwertbarkeit bei einer verbleibenden Aktivitätsdauer von 2 ½ Jahren und einer Arbeitsfähigkeit von 45 %, wobei diese Restarbeitsfähigkeit in einer Bürotätigkeit, welche den Erfahrungen der Versicherten (Banklehre, Computertechnikerin) entsprach, verwertet werden konnte, sodass von einem minimalen Einarbeitungsaufwand auszugehen war (Urteil des Bundesgerichts 8C_645/2017 vom 23. Januar 2018 E. 4.3.1 und 4.3.2). 6.3.2  Verneint wurde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des EVG I 392/02 vom 23. Oktober 2003 E. 3.2 und 3.3). Als unverwertbar erachtet wurde auch die 50%ige, durch verschiedene Auflagen zusätzlich limitierte Arbeitsfähigkeit eines knapp 64-jährigen Versicherten mit multiplen, die Arbeitsfähigkeit einschränkenden Beschwerden (Urteil des EVG I 401/01 vom 4. April 2002 E. 4c und d), ebenso eine 50%ige Arbeitsfähigkeit einer 61 Jahre und einen Monat alten Versicherten, die bezüglich der für sie in Frage kommenden Tätigkeiten einer Umschulung bedurft hätte (Urteil des Bundesgerichts 9C_437/2008 vom 19. März 2009 E. 4 mit weiteren Hinweisen). Im gleichen Sinn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des Bundesgerichts 9C_456/2014 vom 19. Dezember 2014 E. 3.3.1 und 3.3.2). Nicht mehr verwertbar war auch die Arbeitsfähigkeit eines 60 Jahre alten Versicherten, der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des Bundesgerichts 9C_954/2012 vom 10. Mai 2013 E. 3.2, publiziert in: Plädoyer 2013 S. 57). Ebenfalls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 des Bundesgerichts 9C_456/2014 vom 19. Dezember 2014 E. 3.3). Im gleichen Sinn entschied das Bundesgericht bei einer Versicherten mit einer verbleibenden Aktivitätsdauer von 1 ½ Jahren, welche keinen Beruf erlernt hatte, so dass von einer geringen Anpassungsfähigkeit an eine neue Tätigkeit auszugehen war (Urteil des Bundesgerichts 9C_416/2016 vom 14. Oktober 2016 E. 5.1). 6.4 6.4.1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ist, ist – wie in E. II 6.2 hiervor festgehalten – der Zeitpunkt massgebend, indem die medizinische Zumutbarkeit einer (Teil-)Erwerbstätigkeit feststeht (BGE 138 V 457 E. 3.3 S. 462). Dies ist gegeben, sobald die medizinischen Unterlagen diesbezüglich eine zuverlässige Sachverhaltsfeststellung erlauben (Urteil des Bundesgerichts 8C_36/2018 vom 6. Juni 2018 E. 4.1). Wie in der Beweiswürdigung in E. II. 4 hiervor ausgeführt, ist zur Beurteilung des vorliegenden Sachverhalts auf den RAD-Bericht von Dr. med. B.___, Praktischer Arzt, vom 21. Juli 2022 (IV-Nr. 45) abzustellen. Erst diese Aktenbeurteilung des RAD verschaffte genügend Klarheit über die Arbeitsfähigkeit des Beschwerdeführers und bildete die – den Anforderungen an die Beweiskraft (BGE 134 V 231 E. 5.1 S. 232; BGE 125 V 351 E. 3a S. 352 mit Hinweis) genügende – medizinische Grundlage für den Rentenentscheid. Das Datum dieses Berichts stellt zugleich den Zeitpunkt dar, in dem die medizinischen Unterlagen diesbezüglich eine zuverlässige Sachverhaltsfeststellung erlaubten. Der Beschwerdeführer war in diesem Zeitpunkt 64 Jahre alt. 6.4.2  Im Lichte der dargelegten Grundsätze und der Rechtsprechung ist ein erheblicher fehlender Zugang des Beschwerdeführers zum Arbeitsmarkt – trotz der relativ hohen Hürden, welche das Bundesgericht für die Unverwertbarkeit der Restarbeitsfähigkeit älterer Menschen entwickelt hat – zu bejahen. Zum Vergleich mit dem vorliegenden Fall ist das vorgenannte Urteil des Bundesgerichts 9C_416/2016 vom 14. Oktober 2016 heranzuziehen, worin das Bundesgericht bei einer Versicherten mit einer verbleibenden Aktivitätsdauer von 1 ½ Jahren, welche keinen Beruf erlernt hatte, die Verwertbarkeit der Restarbeitsfähigkeit verneinte. Im betreffenden Fall kamen die Gutachter zum Schluss, die Versicherte könne die von ihr zuletzt ausgeübte Tätigkeit als Mitarbeiterin Montage in Anbetracht der eingeschränkten Belastbarkeit aufgrund des chronischen Schmerzsyndroms und der psychiatrischen Faktoren nicht mehr ausüben. Körperlich leichte bis teilweise mittelschwere wechselbelastende Tätigkeiten ohne Zeitdruck und Hektik seien ihr vollumfänglich zumutbar. Die Versicherte habe keinen Beruf erlernt gehabt und habe seit 2005 als Montagemitarbeiterin am Fliessband gearbeitet, was ihr nun aus gesundheitlichen Gründen nicht mehr zugemutet werden könne. Im Lichte dessen hielt das Bundesgericht fest, altersbedingt und aufgrund minimaler (Aus-) Bildung sei von einer geringen Anpassungsfähigkeit an eine neue Tätigkeit auszugehen. Unter den konkreten Umständen wäre die Arbeitskraft der Versicherten auf dem ausgeglichenen Arbeitsmarkt realistischerweise nicht mehr nachgefragt worden, weshalb die Restarbeitsfähigkeit nicht verwertbar gewesen sei. Der vorliegende Fall ist durchaus mit dem Sachverhalt aus dem besagten Urteil vergleichbar. So arbeitete der Beschwerdeführer seit dem 20. März 2000 bis zum Unfallzeitpunkt im Jahr 2018 bei der D.___ AG gearbeitet hat (vgl. IV-Nr. 4 und 8). Dort hatte der Beschwerdeführer gemäss seinen anlässlich des Intake-Gesprächs vom 12. August 2019 (IV-Nr. 8) gemachten Angaben mehrere Funktionen inne. Seit Sept. 2017 arbeitete er wiederum im Lager. Zwar absolvierte der Beschwerdeführer in seiner Heimat in [...] eine Lehre als Maurer. Nach seiner Einreise in die Schweiz 1976 arbeitete er gemäss seinen Angaben aber nie mehr auf dem Bau. Am meisten habe er im Gastgewerbe gearbeitet, in der Küche. Weitere Stationen seien Staplerfahrer auf der LKW-Rampe in einem Lager und Magaziner in einer Plattenlegerfirma gewesen. Angesichts der genannten Umstände und der im Zeitpunkt des Erlasses des RAD-Berichts vom 21. Juli 2022 bis zur Pensionierung verbleibenden kurzen Aktivitätsdauer von gerade mal 12 Monaten ist somit davon auszugehen, dass die Arbeitskraft des Beschwerdeführers auf dem ausgeglichenen Arbeitsmarkt kaum mehr nachgefragt würde. Die Restarbeitsfähigkeit des Beschwerdeführers war demnach im relevanten Zeitpunkt nicht mehr verwertbar. 7.       Wie in E. II. 4 hiervor festgehalten, ist der Beschwerdeführer in der angestammten Tätigkeit seit 27. November 2018 100 % arbeitsunfähig. Das Wartejahr nach Art. 28 Abs. 1 lit. b IVG endete somit im November 2019. Unter Berücksichtigung, dass sich der Versicherte am 13. September 2019 bei der Invalidenversicherung anmeldete (vgl. Art. 29 Abs. 1 IVG in Verbindung mit Art. 29 Abs. 1 ATSG), hat er ab 1. März 2020 Anspruch auf eine ganze Invalidenrente. Die Beschwerde ist somit teilweise gutzuheissen. 8. 8.1     Bei diesem Verfahrensausgang steht dem Beschwerdeführer eine ordentliche Parteientschädigung zu, die von der Beschwerdegegnerin zu bezahlen ist. Zwar hat der Beschwerdeführer im vorliegenden Verfahren nur teilweise obsiegt, indem er die Ausrichtung einer ganzen Invalidenrente bereits ab 1. Oktober 2019 forderte. Damit hat sich aber weder der Aufwand seines Rechtsvertreters noch der Aufwand des Versicherungsgerichts erhöht, weshalb von einer Kürzung der Parteientschädigung abzusehen ist. Der Vertreter des Beschwerdeführers hat im vorliegenden Verfahren keine Kostennote eingereicht, weshalb die Parteientschädigung durch das Gericht ermessensweise festzulegen ist. In Anbetracht von Aufwand und Schwierigkeit des Prozesses sowie des vom Rechtsvertreter getätigten Aufwands ist die Parteientschädigung pauschal auf CHF 2'000.00 (inkl. Auslagen und MwSt) festzusetzen.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1 000.00 festgelegt. Nach dem Ausgang des vorliegenden Verfahrens hat die IV-Stelle die Verfahrenskosten von CHF 600.00 zu bezahlen. Folglich ist dem Beschwerdeführer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