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VSBES.2023.46 vom 14. November 2023</w:t>
      </w:r>
    </w:p>
    <w:p>
      <w:r>
        <w:t>SO Obergericht, 2023-11-14, DE</w:t>
      </w:r>
    </w:p>
    <w:p>
      <w:r>
        <w:rPr>
          <w:b/>
        </w:rPr>
        <w:t xml:space="preserve">Quelle: </w:t>
      </w:r>
      <w:r>
        <w:t>https://mcp.opencaselaw.ch/entscheid/so_gerichte_VSBES.2023.46_d20231114</w:t>
      </w:r>
    </w:p>
    <w:p>
      <w:r>
        <w:t>FR: SO_GERICHTE VSBES.2023.46 du 14 novembre 2023</w:t>
      </w:r>
    </w:p>
    <w:p>
      <w:r>
        <w:t>IT: SO_GERICHTE VSBES.2023.46 del 14 novembre 2023</w:t>
      </w:r>
    </w:p>
    <w:p>
      <w:pPr>
        <w:pStyle w:val="Heading2"/>
      </w:pPr>
      <w:r>
        <w:t>Regeste</w:t>
      </w:r>
    </w:p>
    <w:p>
      <w:r>
        <w:t>Invalidenrente</w:t>
      </w:r>
    </w:p>
    <w:p>
      <w:pPr>
        <w:pStyle w:val="Heading2"/>
      </w:pPr>
      <w:r>
        <w:t>Erwägungen</w:t>
      </w:r>
    </w:p>
    <w:p>
      <w:r>
        <w:rPr>
          <w:b/>
        </w:rPr>
        <w:t>E. 1</w:t>
      </w:r>
    </w:p>
    <w:p>
      <w:r>
        <w:t>1.1     Da die Sachurteilsvoraussetzungen (zulässiges Anfechtungsobjekt, Einhaltung von Frist und Form, örtliche, sachliche und funktionelle Zuständigkeit des angerufenen Gerichts, Legitimation) erfüllt sind, ist auf die Beschwerde einzutreten.</w:t>
      </w:r>
    </w:p>
    <w:p>
      <w:r>
        <w:t>1.2     Streitig und zu prüfen ist die Höhe des Invalideneinkommens. Dabei ist zwischen den Parteien unbestritten, dass auf die Beurteilung im Administrativgutachten der Begutachtungsstelle F.___, [...], vom 20. Januar 2022 abzustellen ist (IV-Nr. 169). Die Administrativgutachter stellten folgende Diagnosen (IV-Nr. 169.1, S. 7):</w:t>
      </w:r>
    </w:p>
    <w:p>
      <w:r>
        <w:t>Diagnosen mit Einfluss auf die Arbeitsfähigkeit:</w:t>
      </w:r>
    </w:p>
    <w:p>
      <w:r>
        <w:t>Diagnosen ohne Einfluss auf die Arbeitsfähigkeit:</w:t>
      </w:r>
    </w:p>
    <w:p>
      <w:r>
        <w:t>Sodann formulierten die Gutachter das nachstehende Zumutbarkeitsprofil: Vermieden werden sollten Tätigkeiten mit Heben / Tragen von Gewichten über 10 kg. Das Heben / Tragen sollte grundsätzlich nur manchmal und nicht vermehrt repetitiv gefordert sein; Arbeitszwangshaltungen mit vermehrter Belastung der Brust- und Lendenwirbelsäule (z.B. repetitive Rotationsbewegungen oder Seitneigung &gt; 20  30° des Oberkörpers bei fixiertem Stand der Beine oder vorgebeugte Arbeitszwangshaltungen ohne die Möglichkeit sich abzustützen, Arbeiten mit häufigem Bücken unter Tischkantenniveau, etc.); Arbeitszwangshaltungen im Knien oder in Hockstellung; Arbeiten, welche mit dem häufigen Überwinden von Niveauunterschieden (z.B. Treppensteigen) verbunden seien; Höhenexponierte (z.B. auf Leitern oder Gerüsten) und Überkopfarbeiten; Grobarbeiten mit den Armen beidseits (z.B. mit einem schweren Hammer, Schlagbohrer, etc.); Tätigkeiten mit einer erhöhten psychischen Belastung (z.B. verstärkter Zeitdruck, vermehrte Konfliktsituationen, etc.). Zu empfehlen seien körperlich leichte bis mittelschwere, wechselbelastende Arbeiten unter der Vermeidung einer vermehrten Beanspruchung der Schultern beidseits, dem Kniegelenk links sowie der Brust- und Lendenwirbelsäule und Tätigkeiten, bei welchen der verminderten psychophysischen Belastbarkeit durch ein wertschätzendes und verständnisvolles Arbeitsumfeld Rechnung getragen werde. Im Rahmen dieser Zumutbarkeitskriterien sei der Beschwerdeführer zu 60 % in einer angepassten Tätigkeit arbeitsfähig.</w:t>
      </w:r>
    </w:p>
    <w:p>
      <w:r>
        <w:t>Vor diesem Hintergrund erübrigen sich weitere medizinische Abklärungen. Der Beschwerdeführer beanstandet lediglich den Einkommensvergleich (siehe Ausführungen in der Beschwerdeschrift vom 16. Februar 2023, A.S. 7 ff.).</w:t>
      </w:r>
    </w:p>
    <w:p>
      <w:r>
        <w:t>1.3     Für die Beurteilung eines Falles hat das Sozialversicherungsgericht grundsätzlich auf den bis zum Zeitpunkt des Erlasses der streitigen Verfügung (hier: 13. Januar 2023) eingetretenen Sachverhalt abzustellen (BGE 131 V 242 E. 2.1 S. 243, 121 V 366 E. 1b).</w:t>
      </w:r>
    </w:p>
    <w:p>
      <w:r>
        <w:t>1.4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rPr>
          <w:b/>
        </w:rPr>
        <w:t>E. 3</w:t>
      </w:r>
    </w:p>
    <w:p>
      <w:r>
        <w:t>3.1     Was zunächst die Ermittlung des Valideneinkommens anbelangt, ist entscheidend, was die versicherte Person im Zeitpunkt des frühestmöglichen Rentenbeginns nach dem Beweisgrad der überwiegenden Wahrscheinlichkeit als Gesunde tatsächlich verdient hätte. Die Einkommensermittlung hat so konkret wie möglich zu erfolgen (Urteil des Bundesgerichts 9C_297/2018 vom 9. August 2018 E. 3.2).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4.3.1 S. 224 mit Hinweisen).</w:t>
      </w:r>
    </w:p>
    <w:p>
      <w:r>
        <w:t>3.2     Das Valideneinkommen von CHF 81522.00 stützt sich auf die Angaben der Arbeitgeberin (siehe dazu die Ausführungen im Urteil des Versicherungsgerichts VSBES.2020.193 vom 28. April 2022 E. 5). Es lässt sich nicht beanstanden und ist auch unbestritten geblieben.</w:t>
      </w:r>
    </w:p>
    <w:p>
      <w:r>
        <w:rPr>
          <w:b/>
        </w:rPr>
        <w:t>E. 4</w:t>
      </w:r>
    </w:p>
    <w:p>
      <w:r>
        <w:t>4.1     Da dem Beschwerdeführer auf dem massgebenden hypothetischen ausgeglichenen Arbeitsmarkt gemäss dem Zumutbarkeitsprofil eine grosse Bandbreite unterschiedlichster Tätigkeiten offenstehen, er aber bislang keine Tätigkeit im zumutbaren Ausmass ausübt, hat die Beschwerdegegnerin für die Ermittlung des Invalideneinkommens zu Recht auf einen Tabellenlohn der vom Bundesamt für Statistik periodisch herausgegebenen Lohnstrukturerhebungen (LSE) abgestellt. Die Beschwerdegegnerin stützte sich hierbei auf LSE 2018, TA1_tirage_skill Level, Medianlohn für Männer im Total Kompetenzniveau 1, ab. Der Beschwerdeführer lässt in diesem Zusammenhang vorbringen, die Beschwerdegegnerin habe zu Unrecht auf die Tabellenwerte von 2018 abgestellt. Richtig wäre vielmehr, auf die im Verfügungszeitpunkt bezogen auf den Zeitpunkt des Rentenbeginns aktuellsten Daten abzustellen, und somit auf den Tabellenwert der LSE 2020 (A.S. 11).</w:t>
      </w:r>
    </w:p>
    <w:p>
      <w:r>
        <w:t>4.2     Nach ständiger Rechtsprechung sind für den Einkommensvergleich (Art. 16 ATSG) die Verhältnisse im Zeitpunkt des frühestmöglichen Beginns des Rentenanspruchs massgebend. Das Validen- und das Invalideneinkommen sind auf zeitidentischer Grundlage zu erheben und allfällige rentenwirksame Änderungen der Vergleichseinkommen bis zum Verfügungserlass zu berücksichtigen (BGE 143 V 295 E. 2.3 S. 297 und E. 4.1.1 S. 299; 129 V 222 E. 4.1 S. 223; vgl. BGE 128 V 174). Das Verwaltungsverfahren betreffend Renten der Invalidenversicherung wird mit der Verfügung abgeschlossen, da diese direkt (d.h. ohne dass vorab ein Einspracheverfahren durchzuführen wäre; vgl. Art. 52 ATSG), mittels Beschwerde beim zuständigen kantonalen Versicherungsgericht oder beim Bundesverwaltungsgericht angefochten werden kann (Art. 69 Abs. 1 IVG). Dabei ist auf den bis zum Zeitpunkt der Verfügung eingetretenen Sachverhalt und grundsätzlich auch auf die (bis) zu diesem Zeitpunkt geltende Rechtslage abzustellen. Massgebend sind demnach nicht die tatsächlichen und rechtlichen Verhältnisse, wie sie sich zu Beginn der Anmeldung, bzw. im Zeitpunkt des frühestmöglichen Rentenbeginns, präsentieren, sondern jene am Ende des Verfahrens, vor dem Verfügungserlass (vgl. BGE 138 V 533 E. 2.2 S. 535; 128 V 315 E.1e/aa S. 320 f. mit Hinweis; URS MÜLLER, Das Verwaltungsverfahren in der Invalidenversicherung, 2010, Rz. 985, S. 184; vgl. auch BGE 143 V 295 E. 4.1.2 S. 299 f. betreffend den Einspracheentscheid im Bereich der Unfallversicherung). Wird auf Tabellenlöhne abgestellt, sind daher grundsätzlich immer die aktuellsten veröffentlichten statistischen Daten zu verwenden (BGE 143 V 295 E. 2.3 S. 297; 142 V 17a E. 2.5.8.1; Urteil des Bundesgerichts 8C_64/2019 vom 27. November 2019 E. 6.2). Dies gebietet auch das Rechtsgleichheitsgebot (Art. 8 BV; Urteil des Bundesgerichts 8C_132/2020 vom 18. Juni 2020 E. 4.1; vgl. BGE 143 V 295 E. 4.1.3 S. 300).</w:t>
      </w:r>
    </w:p>
    <w:p>
      <w:r>
        <w:t>4.3     Wie der Beschwerdeführer zutreffend ausführt, ist im vorliegenden Fall die neueste Ausgabe, die bei Erlass der Verfügung vom 13. Januar 2023 vorlag, massgebend, also jene des Jahres 2020. Gemäss LSE 2020, Tabelle TA1_tirage_skill_level, belief sich der Medianwert des standardisierten Monatslohns der im Kompetenzniveau 1 beschäftigten Männer auf CHF 5'261.00. Nach Hochrechnung dieses Betrags, der 40 Wochenstunden entspricht, auf die betriebsübliche durchschnittliche Arbeitszeit von 41,7 Stunden, resultiert ein Verdienst von CHF 5'485.00 pro Monat oder CHF 65815 pro Jahr. Angepasst an die Arbeitsfähigkeit von 60 % resultiert ein Jahreseinkommen von CHF 39489.00.</w:t>
      </w:r>
    </w:p>
    <w:p>
      <w:r>
        <w:rPr>
          <w:b/>
        </w:rPr>
        <w:t>E. 4.4</w:t>
      </w:r>
    </w:p>
    <w:p>
      <w:r>
        <w:t>4.4.1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4.4.2  Die Beschwerdegegnerin hat im angefochtenen Entscheid vom 13. Januar 2023 keinen Abzug vom Tabellenlohn vorgenommen. Der Beschwerdeführer macht geltend, es sei vom Tabellenlohn ein leidensbedingter Abzug von insgesamt 15 % vorzunehmen. Ob sich aus den genannten Gründen ein Abzug vom Tabellenlohn rechtfertigt, ist eine Rechtsfrage, die das Gericht demnach mit voller Kognition zu prüfen hat (BGE 137 V 71 E. 5.1 am Anfang).</w:t>
      </w:r>
    </w:p>
    <w:p>
      <w:r>
        <w:t>4.4.3  Der Beschwerdeführer bringt vor, aufgrund von Teilzeitarbeit müsse ein Abzug erfolgen (vgl. A.S. 11). Gemäss der Tabelle T18, Monatlicher Bruttolohn (Zentralwert) nach Beschäftigungsgrad, beruflicher Stellung und Geschlecht, Privater und öffentlicher Sektor zusammen, 2020, verdienen zwar statistisch gesehen Männer ohne Kaderfunktion mit einem Beschäftigungsgrad von 50  74 % 4.2 % weniger als solche mit einem Beschäftigungsgrad von 90 % und mehr. Dies stellt jedoch rechtsprechungsgemäss keine überproportionale Lohneinbusse dar (Urteile des Bundesgerichts 8C_151/2020 vom 15. Juli 2020 E. 6.3.2; 9C_223/2020 vom 25. Mai 2020 E. 4.3.2). Die nach dem F.___-Gutachten vom 20. Januar 2022 dem Beschwerdeführer noch zumutbare Teilzeittätigkeit von 60 % berechtigt mithin zu keinem Abzug. Weiter ist nicht ersichtlich, inwiefern dem Beschwerdeführer die Verwertung seiner Arbeitsfähigkeit mit dem zumutbaren Belastungsprofil gemäss F.___-Gutachten vom 20. Januar 2022 (körperlich leichte bis mittelschwere, wechselbelastende Arbeiten unter der Vermeidung einer vermehrten Beanspruchung der Schultern beidseits, dem Kniegelenk links sowie der Brust- und Lendenwirbelsäule; Tätigkeiten, bei welchen der verminderten psychophysischen Belastbarkeit durch eine wertschätzendes und verständnisvolles Arbeitsumfeld Rechnung getragen wird; vgl. IV-Nr. 169.1, S. 7; E. II. 1.2 hiervor) auf dem ausgeglichenen Arbeitsmarkt nur mit unterdurchschnittlichem Einkommen möglich sein sollte. Das vorliegend für das Invalideneinkommen anwendbare Kompetenzniveau 1 umfasst eine Vielzahl von einfachen Tätigkeiten körperlicher und handwerklicher Art, so dass dem Beschwerdeführer seinem Zumutbarkeitsprofil entsprechende Verweistätigkeiten auf dem ausgeglichenen Arbeitsmarkt angeboten werden (vgl. auch Urteil des Bundesgerichts 8C_884/2017 vom 24. Mai 2018 E. 4.2).</w:t>
      </w:r>
    </w:p>
    <w:p>
      <w:r>
        <w:t>Dagegen ergibt sich aus der Tabelle T12_b, Monatlicher Bruttolohn (Zentralwert und Quartilbereich), Schweizer/innen und Ausländer/innen, nach beruflicher Stellung und Geschlecht, Privater und öffentlicher Sektor zusammen, 2020, dass in diesem Jahr Männer der Kategorie «ohne Kaderfunktion» und mit Niederlassungsbewilligung C  wozu der Beschwerdeführer gemäss Aktenlage zählt (vgl. IV-Nr. 74, S. 1)  im Vergleich zum Total von Schweizern und Ausländern der gleichen Kategorie einen um 4.1 % geringeren Lohn erzielten. Der Tabelle TA12, Monatlicher Bruttolohn (Zentralwert und Quartilbereich), Schweizer/innen und Ausländer/innen, nach beruflicher Stellung und Geschlecht, Privater Sektor, 2020, ist ein um 2.2 % tieferer Lohn zu entnehmen. Zumindest dieser Umstand könnte im Sinne der noch auf der Tabelle TA12 der LSE 2018 beruhenden Rechtsprechung des Bundesgerichts (vgl. Urteil 8C_332/2022 vom 19. Oktober 2022 E. 5.2.2.2) zu einem leidensbedingten Abzug von (max.) 5 % führen. Wie es sich damit konkret verhält, kann jedoch vorliegend letztlich offenbleiben (vgl. E. II. 4.5 nachfolgend).</w:t>
      </w:r>
    </w:p>
    <w:p>
      <w:r>
        <w:t>4.5     In Würdigung sämtlicher Umstände ist dem Beschwerdeführer demnach  wenn überhaupt  höchstens aufgrund seines Aufenthaltsstatus ein Tabellenlohnabzug von 5 % zu gewähren. Unter Berücksichtigung desselben ergibt sich ein jährliches Invalideneinkommen von CHF 37'515.00. Verglichen mit dem Valideneinkommen von CHF 81522.00 pro Jahr resultiert ein Invaliditätsgrad von (aufgerundet) 54 %, der einen Anspruch auf eine halbe Invalidenrente begründet. Ohne Abzug ergibt sich aus der Gegenüberstellung von Valideneinkommen und Invalideneinkommen (CHF 39489.00 [ohne leidensbedingten Abzug von 5 %]) ein Invaliditätsgrad von (aufgerundet) 52 %, der ebenfalls einen Anspruch auf eine halbe Rente begründet. An diesem Ergebnis würde sich selbst bei Berücksichtigung eines leidensbedingten Pauschalabzugs von 10 % gemäss der ab 1. Januar 2024 geltenden Änderung der Verordnung über die Invalidenversicherung (IVV, SR 831.201) nichts ändern. Die Verfügung vom 13. Januar 2023 ist damit aufzuheben und die dagegen erhobene Beschwerde gutzuheissen.</w:t>
      </w:r>
    </w:p>
    <w:p>
      <w:r>
        <w:rPr>
          <w:b/>
        </w:rPr>
        <w:t>E. 5</w:t>
      </w:r>
    </w:p>
    <w:p>
      <w:r>
        <w:t>5.1     Der Beschwerdeführer obsiegt und hat Anspruch auf eine Parteientschädigung (Art. 61 lit. g ATSG). Sein Vertreter macht mit Kostennote vom 31. März 2023 einen Aufwand von 7.10 Stunden, einen Stundenansatz von CHF 250.00 und Auslagen von insgesamt CHF 61.10 geltend, was zu einer Kostenforderung von insgesamt CHF 1'977.50 (Honorar von CHF 1'775.00, Auslagen von CHF 61.10 und MwSt. von CHF 141.40) führt.</w:t>
      </w:r>
    </w:p>
    <w:p>
      <w:r>
        <w:t>Der nachprozessuale Aufwand ist angesichts des Obsiegens praxisgemäss von einer Stunde auf 0.5 Stunden zu kürzen. Damit verbleibt ein Zeitaufwand von insgesamt 6.60 Std. Bei den Auslagen sind die Kopien mit CHF 0.50 (und nicht mit CHF 1.00) zu entschädigen (§ 160 Abs. 5 des Gebührentarifs [GT], BGS 615.11). Demnach belaufen sich die zu vergütenden Auslagen auf insgesamt CHF 38.60. In Anbetracht von Aufwand und Schwierigkeit des Prozesses wird auf weitere Kürzungen verzichtet. Unter Berücksichtigung des geltend gemachten Stundenansatzes von CHF 250.00 und der Mehrwertsteuer führt dies zu einer Parteientschädigung von insgesamt CHF 1'818.60 (Honorar von CHF 1'650.00 [6.60 Std. à CHF 250.00], Auslagen von CHF 38.60 und MwSt. von CHF 130.00).</w:t>
      </w:r>
    </w:p>
    <w:p>
      <w:r>
        <w:t>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dem Beschwerdeführer der geleistete Kostenvorschuss von CHF 1000.00 zurückzuerstatten.</w:t>
      </w:r>
    </w:p>
    <w:p>
      <w:r>
        <w:t>6.       Nachdem der Beschwerdeführer obsiegt, erübrigt sich die Durchführung einer Hauptverhandlung. Der diesbezügliche Antrag ist obsolet.</w:t>
      </w:r>
    </w:p>
    <w:p>
      <w:r>
        <w:t>Demnach wirderkannt:</w:t>
      </w:r>
    </w:p>
    <w:p>
      <w:r>
        <w:t>1.Die Beschwerde wird gutgeheissen. Die Verfügung vom 13. Januar 2023 wird dahingehend abgeändert, dass der Beschwerdeführer ab 1. April 2020 Anspruch auf eine halbe Invalidenrente hat.</w:t>
      </w:r>
    </w:p>
    <w:p>
      <w:r>
        <w:t>2.Die IV-Stelle des Kantons Solothurn hat dem Beschwerdeführer eine Parteientschädigung von CHF 1'818.60 (inkl. Auslagen und MwSt) zu bezahlen.</w:t>
      </w:r>
    </w:p>
    <w:p>
      <w:r>
        <w:t>3.Die IV-Stelle des Kantons Solothurn hat die Verfahrenskosten von CHF 600.00 zu bezahlen. Der geleistete Kostenvorschuss von CHF 1'000.00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