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VSBES.2023.294 vom 26. August 2024</w:t>
      </w:r>
    </w:p>
    <w:p>
      <w:r>
        <w:t>SO Obergericht, 2024-08-26, DE</w:t>
      </w:r>
    </w:p>
    <w:p>
      <w:r>
        <w:rPr>
          <w:b/>
        </w:rPr>
        <w:t xml:space="preserve">Quelle: </w:t>
      </w:r>
      <w:r>
        <w:t>https://mcp.opencaselaw.ch/entscheid/so_gerichte_VSBES.2023.294_d20240826</w:t>
      </w:r>
    </w:p>
    <w:p>
      <w:r>
        <w:t>FR: SO_GERICHTE VSBES.2023.294 du 26 août 2024</w:t>
      </w:r>
    </w:p>
    <w:p>
      <w:r>
        <w:t>IT: SO_GERICHTE VSBES.2023.294 del 26 agosto 2024</w:t>
      </w:r>
    </w:p>
    <w:p>
      <w:pPr>
        <w:pStyle w:val="Heading2"/>
      </w:pPr>
      <w:r>
        <w:t>Regeste</w:t>
      </w:r>
    </w:p>
    <w:p>
      <w:r>
        <w:t>Ergänzungsleistungen IV</w:t>
      </w:r>
    </w:p>
    <w:p>
      <w:pPr>
        <w:pStyle w:val="Heading2"/>
      </w:pPr>
      <w:r>
        <w:t>Erwägungen</w:t>
      </w:r>
    </w:p>
    <w:p>
      <w:r>
        <w:rPr>
          <w:b/>
        </w:rPr>
        <w:t>E. 1</w:t>
      </w:r>
    </w:p>
    <w:p>
      <w:r>
        <w:t>1.1    Dem 2002 geborene A.___ (nachfolgend: Beschwerdeführer) wurde mit Verfügung vom 4. Juni 2020 eine Hilflosenentschädigung für eine Hilflosigkeit mittleren Grades rückwirkend ab dem 1. Mai 2020 zugesprochen (Akten der Ausgleichskasse Nr. [AK-Nr.] 1162). Am 12. Juli 2020 meldete er sich bei der Ausgleichskasse des Kantons Solothurn (nachfolgend: Beschwerdegegnerin) zum Bezug von Ergänzungsleistungen an (AK-Nr. 1142 ff.). Diese hiess sein Gesuch am 11. August 2020 gut und richtete ihm rückwirkend ab dem 1. Mai 2020 Ergänzungsleistungen aus (AK-Nr. 1107 ff.).</w:t>
      </w:r>
    </w:p>
    <w:p>
      <w:r>
        <w:t>1.2    Am 24. November 2022 wurde dem Beschwerdeführer rückwirkend ab dem 1. Mai 2020 bis zum 31. Dezember 2021 eine halbe und ab dem 1. Januar 2022 eine Rente entsprechend einem Invaliditätsgrad von 63 % zugesprochen (AK-Nr. 518 f.), was im Dezember 2022 zu einer Rentennachzahlung in Höhe von insgesamt CHF 20'512.00 führte (AK-Nr. 421 und 462 ff.).</w:t>
      </w:r>
    </w:p>
    <w:p>
      <w:r>
        <w:rPr>
          <w:b/>
        </w:rPr>
        <w:t>E. 1.1.1</w:t>
      </w:r>
    </w:p>
    <w:p>
      <w:r>
        <w:t>Die Präsidentin oder der Präsident des Versicherungsgerichts entscheidet  vorbehältlich hier nicht gegebener Ausnahmen  in einzelrichterlicher Kompetenz über Streitigkeiten in Sozialversicherungssachen mit einem Streitwert bis höchstens CHF 30'000.00 (§ 54bisAbs. 1 lit. a Gesetz über die Gerichtsorganisation, GO, BGS 125.12).</w:t>
      </w:r>
    </w:p>
    <w:p>
      <w:r>
        <w:rPr>
          <w:b/>
        </w:rPr>
        <w:t>E. 1.1.2</w:t>
      </w:r>
    </w:p>
    <w:p>
      <w:r>
        <w:t>Strittig ist der Erlass einer Rückforderung in Höhe von CHF 17'326.00. Diese Summe liegt unter der Streitwertgrenze von § 54bisAbs. 1 lit. a GO in Höhe von CHF 30'000.00. Das vorliegende Beschwerdeverfahren fällt somit in die einzelrichterliche Zuständigkeit und ist durch den Vizepräsidenten des Versicherungsgerichts, als Stellvertreter der Präsidentin, zu entscheiden.</w:t>
      </w:r>
    </w:p>
    <w:p>
      <w:r>
        <w:t>1.2Die weiteren Sachurteilsvoraussetzungen sind erfüllt. Die Beschwerde erfolgte frist- und formgerecht, ist zulässiges Rechtsmittel und das angerufene Gericht ist zu deren Beurteilung zuständig. Auf die Beschwerde ist einzutreten.</w:t>
      </w:r>
    </w:p>
    <w:p>
      <w:r>
        <w:t>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2.1.3 Für die Beurteilung, ob eine grosse Härte vorliegt, ist der Zeitpunkt massgebend, in welchem über die Rückforderung rechtskräftig entschieden ist. Die grosse Härte wird (bei gleichzeitiger Festlegung von Abweichungen) unter Bezugnahme auf das Bundesgesetz über die Ergänzungsleistungen zur Alters-, Hinterlassenen- und Invalidenversicherung (ELG, SR 831.30) umschrieben, und zwar in der Weise, dass eine rückerstattungspflichtige Person, welche weiterhin Ergänzungsleistungen bezieht, grundsätzlich die Erlassvoraussetzung der grossen Härte erfüllt.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Nichts anderes kann gelten, wenn die versicherte Person trotz Erwartung einer allfälligen Rückforderung von Ergänzungsleistungen über die Rentennachzahlungen anderweitig disponiert (Urteil des Bundesgerichts 9C_728/2016 vom 26. Oktober 2017 E. 1.2).</w:t>
      </w:r>
    </w:p>
    <w:p>
      <w:r>
        <w:t>2.2</w:t>
      </w:r>
    </w:p>
    <w:p>
      <w:r>
        <w:t>2.2.1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2.2.2 Nach bundesgerichtlicher Rechtsprechung besteht die Pflicht zur Rückerstattung von Ergänzungsleistungen im Falle von Rentennachzahlungen unabhängig von einer allfälligen Verletzung der Meldepflicht. In solchen Fällen geht es einzig darum, die gesetzliche Ordnung wieder herzustellen (BGE 122 V 134 E. 2.e). Eine grosse finanzielle Härte liegt in solchen Fällen in der Regel ebenfalls nicht vor, weil mit der rückwirkend zur Auszahlung gelangten Rente genügend Mittel vorhanden sind, um die Rückforderung zu leisten (BGE 122 V 134 E. 3.c).</w:t>
      </w:r>
    </w:p>
    <w:p>
      <w:r>
        <w:t>3.      Mit Einspracheentscheid vom 15. Mai 2023 wurde den Bestand und die Höhe der Rückforderung rechtskräftig entscheiden. Gegenstand des vorliegenden Verfahrens ist somit einzig noch deren Erlass.</w:t>
      </w:r>
    </w:p>
    <w:p>
      <w:r>
        <w:t>3.1    Sofern der Beschwerdeführer einen Anspruch auf diese finanziellen Mittel damit begründet, er habe die Beschwerdegegnerin in der Vergangenheit weniger Geld gekostet als andere Versicherte, weil er z. B. bei seinen Eltern statt in einem Heim gewohnt habe, so lässt sich daraus nichts zu seinen Gunsten ableiten. Hätte der Beschwerdeführer in der Vergangenheit Leistungen der Beschwerdegegnerin in Anspruch nehmen wollen, so wäre es ihm freigestanden, diese zu beantragen. Ansprüche gegenüber der Beschwerdegegnerin bestehen jedenfalls nicht und sind nicht Gegenstand des vorliegenden Verfahrens. Die entsprechenden Vorbringen sind somit nicht zu hören.</w:t>
      </w:r>
    </w:p>
    <w:p>
      <w:r>
        <w:t>3.2    Die Rückforderung resultierte, weil dem Beschwerdeführer mit Verfügung vom 24. November 2022 ab dem 1. Mai 2020 eine Invalidenrente zugesprochen und diese im Dezember 2022 rückwirkend zur Auszahlung gelangte. Die Beschwerdegegnerin hat dem Beschwerdeführer daher die Rente ab 1. Mai 2020 als Einnahme in der EL-Anspruchsberechnung angerechnet, was rückwirkend zu zu viel ausgerichteten Ergänzungsleistungen in Höhe von CHF 18'037.00 führte. Im Einspracheverfahren wurden infolge des Wegzugs des Bruders des Beschwerdeführers aus dem gemeinsamen Haushalt ab dem 1. Dezember 2022 höhere Wohnkosten und ab dem 1. Januar 2023 zudem höhere Sozialversicherungsbeiträge als Ausgaben anerkannt. Damit erhöhte sich rückwirkend ab dem 1. Dezember 2022 der Ergänzungsleistungsanspruch geringfügig. Eine Auszahlung dieses Guthabens erfolgte aber nicht, sondern wurde mit der Rückforderung von CHF 18'037.00 verrechnet, was zu einer Reduktion der Rückforderung auf noch CHF 17'326.00 im Einspracheentscheid vom 15. Mai 2023 führte (vgl. AK-Nr. 265). Diese zurückgeforderte Summe ist somit einzig eine Folge der Rentennachzahlung, weshalb dieser Betrag rechtsprechungsgemäss zurückzuerstatten ist, ohne dass hierfür eine Prüfung der Meldepflichtsverletzung vorzunehmen ist (vgl. E. II. 2.2.2 hiervor). Bezogen auf die Erlassfrage fehlt es in dieser Konstellation an der grossen Härte. Folglich entfällt auch die Prüfung der Frage, ob der Beschwerdeführer die Ergänzungsleistungen während dieser Zeit gutgläubig bezogen hatte oder nicht.</w:t>
      </w:r>
    </w:p>
    <w:p>
      <w:r>
        <w:t>3.3    Der Beschwerdeführer begründet das Vorliegen einer grossen finanziellen Härte damit, sich mit der Rentennachzahlung eine Ausbildung ermöglichen zu wollen, die er ansonsten nur mit einem Kredit finanzieren könne. Hierzu ist festzuhalten, dass die zu berücksichtigenden Ausgaben in Art. 10 ELG abschliessend aufgezählt werden. Ausbildungskosten figurieren nicht in dieser Aufzählung. Dem Anliegen nach der Berücksichtigung von Ausbildungskosten wird indirekt Rechnung getragen, indem Stipendien und andere Ausbildungsbeihilfen nicht als Einnahmen angerechnet werden (Art. 11 Abs. 3 lit. e ELG). Es verhält sich aber so, dass auf die Finanzierung von Ausbildungskosten durch die Beschwerdegegnerin kein Anspruch besteht und sich aus der Tatsache, dass er sich eine Ausbildung ohne finanzielle Dritthilfe nicht leisten kann, noch keine grosse Härte im Sinne von Art. 25 Abs. 1 Satz 2 ATSG ergibt. Mit der nachträglich ausgerichteten Rente sind ihm zudem Mittel zugeflossen, die sich bezüglich ihrer zeitlichen Bestimmung mit den vorher bezogenen Ergänzungsleistungen decken  sein Existenzbedarf war in der Vergangenheit mit anderen Worten bereits durch die Ergänzungsleistungen gedeckt und mit der Rentennachzahlung verfügt er über finanzielle Mittel, die diesen übersteigen. Eine grosse finanzielle Härte liegt vor diesem Hintergrund und mit Blick auf die zitierte bundesgerichtliche Rechtsprechung (vgl. E. II. 2.1.3 und 2.2.2 hiervor) nicht vor.</w:t>
      </w:r>
    </w:p>
    <w:p>
      <w:r>
        <w:t>4.      Die Voraussetzungen für den Erlass der Rückforderung sind nicht gegeben und der angefochtene Entscheid erweist sich als rechtmässig. Die Beschwerde ist abzuweisen.</w:t>
      </w:r>
    </w:p>
    <w:p>
      <w:r>
        <w:rPr>
          <w:b/>
        </w:rPr>
        <w:t>E. 1.2</w:t>
      </w:r>
    </w:p>
    <w:p>
      <w:r>
        <w:t>Die weiteren Sachurteilsvoraussetzungen sind erfüllt. Die Beschwerde erfolgte frist- und formgerecht, ist zulässiges Rechtsmittel und das angerufene Gericht ist zu deren Beurteilung zuständig. Auf die Beschwerde ist einzutreten. 2. 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 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 2.1.3 Für die Beurteilung, ob eine grosse Härte vorliegt, ist der Zeitpunkt massgebend, in welchem über die Rückforderung rechtskräftig entschieden ist. Die grosse Härte wird (bei gleichzeitiger Festlegung von Abweichungen) unter Bezugnahme auf das Bundesgesetz über die Ergänzungsleistungen zur Alters-, Hinterlassenen- und Invalidenversicherung (ELG, SR 831.30) umschrieben, und zwar in der Weise, dass eine rückerstattungspflichtige Person, welche weiterhin Ergänzungsleistungen bezieht, grundsätzlich die Erlassvoraussetzung der grossen Härte erfüllt.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Nichts anderes kann gelten, wenn die versicherte Person trotz Erwartung einer allfälligen Rückforderung von Ergänzungsleistungen über die Rentennachzahlungen anderweitig disponiert (Urteil des Bundesgerichts 9C_728/2016 vom 26. Oktober 2017 E. 1.2). 2.2 2.2.1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 2.2.2 Nach bundesgerichtlicher Rechtsprechung besteht die Pflicht zur Rückerstattung von Ergänzungsleistungen im Falle von Rentennachzahlungen unabhängig von einer allfälligen Verletzung der Meldepflicht. In solchen Fällen geht es einzig darum, die gesetzliche Ordnung wieder herzustellen (BGE 122 V 134 E. 2.e). Eine grosse finanzielle Härte liegt in solchen Fällen in der Regel ebenfalls nicht vor, weil mit der rückwirkend zur Auszahlung gelangten Rente genügend Mittel vorhanden sind, um die Rückforderung zu leisten (BGE 122 V 134 E. 3.c). 3.      Mit Einspracheentscheid vom 15. Mai 2023 wurde den Bestand und die Höhe der Rückforderung rechtskräftig entscheiden. Gegenstand des vorliegenden Verfahrens ist somit einzig noch deren Erlass. 3.1    Sofern der Beschwerdeführer einen Anspruch auf diese finanziellen Mittel damit begründet, er habe die Beschwerdegegnerin in der Vergangenheit weniger Geld gekostet als andere Versicherte, weil er z. B. bei seinen Eltern statt in einem Heim gewohnt habe, so lässt sich daraus nichts zu seinen Gunsten ableiten. Hätte der Beschwerdeführer in der Vergangenheit Leistungen der Beschwerdegegnerin in Anspruch nehmen wollen, so wäre es ihm freigestanden, diese zu beantragen. Ansprüche gegenüber der Beschwerdegegnerin bestehen jedenfalls nicht und sind nicht Gegenstand des vorliegenden Verfahrens. Die entsprechenden Vorbringen sind somit nicht zu hören. 3.2    Die Rückforderung resultierte, weil dem Beschwerdeführer mit Verfügung vom 24. November 2022 ab dem 1. Mai 2020 eine Invalidenrente zugesprochen und diese im Dezember 2022 rückwirkend zur Auszahlung gelangte. Die Beschwerdegegnerin hat dem Beschwerdeführer daher die Rente ab 1. Mai 2020 als Einnahme in der EL-Anspruchsberechnung angerechnet, was rückwirkend zu zu viel ausgerichteten Ergänzungsleistungen in Höhe von CHF 18'037.00 führte. Im Einspracheverfahren wurden infolge des Wegzugs des Bruders des Beschwerdeführers aus dem gemeinsamen Haushalt ab dem 1. Dezember 2022 höhere Wohnkosten und ab dem 1. Januar 2023 zudem höhere Sozialversicherungsbeiträge als Ausgaben anerkannt. Damit erhöhte sich rückwirkend ab dem 1. Dezember 2022 der Ergänzungsleistungsanspruch geringfügig. Eine Auszahlung dieses Guthabens erfolgte aber nicht, sondern wurde mit der Rückforderung von CHF 18'037.00 verrechnet, was zu einer Reduktion der Rückforderung auf noch CHF 17'326.00 im Einspracheentscheid vom 15. Mai 2023 führte (vgl. AK-Nr. 265). Diese zurückgeforderte Summe ist somit einzig eine Folge der Rentennachzahlung, weshalb dieser Betrag rechtsprechungsgemäss zurückzuerstatten ist, ohne dass hierfür eine Prüfung der Meldepflichtsverletzung vorzunehmen ist (vgl. E. II. 2.2.2 hiervor). Bezogen auf die Erlassfrage fehlt es in dieser Konstellation an der grossen Härte. Folglich entfällt auch die Prüfung der Frage, ob der Beschwerdeführer die Ergänzungsleistungen während dieser Zeit gutgläubig bezogen hatte oder nicht. 3.3    Der Beschwerdeführer begründet das Vorliegen einer grossen finanziellen Härte damit, sich mit der Rentennachzahlung eine Ausbildung ermöglichen zu wollen, die er ansonsten nur mit einem Kredit finanzieren könne. Hierzu ist festzuhalten, dass die zu berücksichtigenden Ausgaben in Art. 10 ELG abschliessend aufgezählt werden. Ausbildungskosten figurieren nicht in dieser Aufzählung. Dem Anliegen nach der Berücksichtigung von Ausbildungskosten wird indirekt Rechnung getragen, indem Stipendien und andere Ausbildungsbeihilfen nicht als Einnahmen angerechnet werden (Art. 11 Abs. 3 lit. e ELG). Es verhält sich aber so, dass auf die Finanzierung von Ausbildungskosten durch die Beschwerdegegnerin kein Anspruch besteht und sich aus der Tatsache, dass er sich eine Ausbildung ohne finanzielle Dritthilfe nicht leisten kann, noch keine grosse Härte im Sinne von Art. 25 Abs. 1 Satz 2 ATSG ergibt. Mit der nachträglich ausgerichteten Rente sind ihm zudem Mittel zugeflossen, die sich bezüglich ihrer zeitlichen Bestimmung mit den vorher bezogenen Ergänzungsleistungen decken – sein Existenzbedarf war in der Vergangenheit mit anderen Worten bereits durch die Ergänzungsleistungen gedeckt und mit der Rentennachzahlung verfügt er über finanzielle Mittel, die diesen übersteigen. Eine grosse finanzielle Härte liegt vor diesem Hintergrund und mit Blick auf die zitierte bundesgerichtliche Rechtsprechung (vgl. E. II. 2.1.3 und 2.2.2 hiervor) nicht vor. 4.      Die Voraussetzungen für den Erlass der Rückforderung sind nicht gegeben und der angefochtene Entscheid erweist sich als rechtmässig. Die Beschwerde ist abzuweisen.</w:t>
      </w:r>
    </w:p>
    <w:p>
      <w:r>
        <w:rPr>
          <w:b/>
        </w:rPr>
        <w:t>E. 1.3.1</w:t>
      </w:r>
    </w:p>
    <w:p>
      <w:r>
        <w:t>Infolge der Zusprache der Invalidenrente berechnete die Beschwerdegegnerin den Ergänzungsleistungsanspruch des Beschwerdeführers rückwirkend ab 1. Mai 2020 bis Ende Dezember 2022 neu und forderte am 21. Dezember 2022 einen Betrag von CHF 18'037.00 zurück (AK-Nr. 366 ff.). Dagegen liess der Beschwerdeführer am 29. Dezember 2022 (AK-Nr. 352 f.) sowie ergänzend am 25. Januar 2023 Einsprache erheben (AK-Nr. 317). Am 4. Januar 2023 verfügte die Beschwerdegegnerin zudem den Ergänzungsleistungsanspruch des Beschwerdeführers ab Januar 2023 (AK-Nr. 348 f.), wogegen der Beschwerdeführer ebenfalls am 25. Januar 2023 Einsprache erheben liess (AK-Nr. 321). Zur Begründung der beiden Einsprachen führte er im Wesentlichen aus, die Beschwerdegegnerin verhalte sich widersprüchlich, wenn sie ihm gleichzeitig eine Rentennachzahlung und Ergänzungsleistungen ausrichte, nur um letztere sogleich wieder zurückzufordern. Zudem liege der Anspruchsberechnung die Annahme zugrunde, er wohne in einem Fünf-Personen-Haushalt. Ein Familienmitglied sei jedoch am 1. April 2022 ausgezogen, weshalb die Berechnung auf falschen Annahmen beruhe und ab dem 1. April 2022 rückwirkend zu korrigieren sei. Schliesslich seien in der Anspruchsberechnung ab Januar 2023 auch höhere Sozialversicherungsbeiträge an die AHV/IV zu berücksichtigen (AK-Nr. 322).</w:t>
      </w:r>
    </w:p>
    <w:p>
      <w:r>
        <w:rPr>
          <w:b/>
        </w:rPr>
        <w:t>E. 1.3.2</w:t>
      </w:r>
    </w:p>
    <w:p>
      <w:r>
        <w:t>Im Einspracheentscheid vom 15. Mai 2023 vereinigte die Beschwerdegegnerin die Einsprachen gegen die Verfügungen vom 21. Dezember 2022 und 4. Januar 2023 und berechnete in teilweiser Gutheissung der Einsprachen die Ansprüche ab dem 1. Dezember 2022 und dem 1. Januar 2023 neu, was zu einer verrechnungsweisen Reduktion der Rückforderung auf noch CHF 17'326.00 führte (AK-Nr. 240 und 260 ff.). Mit Eingabe vom 13. Juni 2023 reichte der Beschwerdeführer beim Versicherungsgericht des Kantons Solothurn (Versicherungsgericht) ein Erlassgesuch betreffend diese Forderung ein (AK-Nr. 170 f.). Das Versicherungsgericht trat auf die Eingabe, soweit sie als Beschwerde gegen den Einspracheentscheid vom 15. Mai 2023 entgegengenommen wurde, mit Urteil vom 13. Juli 2023 nicht ein und überwies die Eingabe vom 13. Juni 2023 zur Behandlung als Erlassgesuch an die Beschwerdegegnerin (AK-Nr. 159 f.).</w:t>
      </w:r>
    </w:p>
    <w:p>
      <w:r>
        <w:rPr>
          <w:b/>
        </w:rPr>
        <w:t>E. 1.3.3</w:t>
      </w:r>
    </w:p>
    <w:p>
      <w:r>
        <w:t>Am 9. Oktober 2023 wies die Beschwerdegegnerin den Erlass der Rückforderung verfügungsweise ab (AK-Nr. 63). Eine dagegen gerichtete Einsprache des Beschwerdeführers vom</w:t>
      </w:r>
    </w:p>
    <w:p>
      <w:r>
        <w:rPr>
          <w:b/>
        </w:rPr>
        <w:t>E. 5</w:t>
      </w:r>
    </w:p>
    <w:p>
      <w:r>
        <w:t>5.1    Bei diesem Verfahrensausgang besteht kein Anspruch auf eine Parteientschädigung.</w:t>
      </w:r>
    </w:p>
    <w:p>
      <w:r>
        <w:t>5.2    Bei Streitigkeiten über Leistungen ist das Verfahren kostenpflichtig, wenn dies im jeweiligen Einzelgesetz vorgesehen ist (vgl. Art. 61 lit. fbisBundesgesetz über den Allgemeinen Teil des Sozialversicherungsrechts [ATSG, SR 830.1]).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Auf die gegen den vorliegenden Entscheid erhobene Beschwerde trat das Bundesgericht mit Urteil 8C_571/2024 vom 4. Oktober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