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VSBES.2023.239 vom 29. August 2023</w:t>
      </w:r>
    </w:p>
    <w:p>
      <w:r>
        <w:t>SO Obergericht, 2023-08-29, DE</w:t>
      </w:r>
    </w:p>
    <w:p>
      <w:r>
        <w:rPr>
          <w:b/>
        </w:rPr>
        <w:t xml:space="preserve">Quelle: </w:t>
      </w:r>
      <w:r>
        <w:t>https://mcp.opencaselaw.ch/entscheid/so_gerichte_VSBES.2023.239</w:t>
      </w:r>
    </w:p>
    <w:p>
      <w:r>
        <w:t>FR: SO_GERICHTE VSBES.2023.239 du 29 août 2023</w:t>
      </w:r>
    </w:p>
    <w:p>
      <w:r>
        <w:t>IT: SO_GERICHTE VSBES.2023.239 del 29 agosto 2023</w:t>
      </w:r>
    </w:p>
    <w:p>
      <w:pPr>
        <w:pStyle w:val="Heading2"/>
      </w:pPr>
      <w:r>
        <w:t>Erwägungen</w:t>
      </w:r>
    </w:p>
    <w:p>
      <w:r>
        <w:rPr>
          <w:b/>
        </w:rPr>
        <w:t>E. 1</w:t>
      </w:r>
    </w:p>
    <w:p>
      <w:r>
        <w:t>1.1     Die Präsidentin oder der Präsident des Versicherungsgerichts entscheidet  vorbehältlich hier nicht gegebener Ausnahmen  in einzelrichterlicher Kompetenz über Streitigkeiten in Sozialversicherungssachen mit einem Streitwert bis höchstens CHF 30'000.00 (§ 54bisAbs. 1 lit. a Gesetz über die Gerichtsorganisation, GO, BGS 125.12).</w:t>
      </w:r>
    </w:p>
    <w:p>
      <w:r>
        <w:t>Im angefochtenen Einspracheentscheid bzw. der diesem zugrundeliegenden Verfügung vom 25. Juli 2023 strittig ist der Erlass einer Rückforderung in Höhe von CHF 4'521.00. Diese Summe liegt unter der Streitwertgrenze von § 54bisAbs. 1 lit. a GO in Höhe von CHF 30000. Das vorliegende Beschwerdeverfahren fällt somit in die einzelrichterliche Zuständigkeit und ist durch den Vizepräsidenten des Versicherungsgerichts, als Stellvertreter der Präsidentin, zu entscheiden.</w:t>
      </w:r>
    </w:p>
    <w:p>
      <w:r>
        <w:t>1.2Die weiteren Sachurteilsvoraussetzungen sind erfüllt. Die Beschwerde erfolgte frist- und formgerecht, ist zulässiges Rechtsmittel und das angerufene Gericht ist zu deren Beurteilung zuständig. Auf die Beschwerde ist einzutreten.</w:t>
      </w:r>
    </w:p>
    <w:p>
      <w:r>
        <w:rPr>
          <w:b/>
        </w:rPr>
        <w:t>E. 1.2</w:t>
      </w:r>
    </w:p>
    <w:p>
      <w:r>
        <w:t>Die weiteren Sachurteilsvoraussetzungen sind erfüllt. Die Beschwerde erfolgte frist- und formgerecht, ist zulässiges Rechtsmittel und das angerufene Gericht ist zu deren Beurteilung zuständig. Auf die Beschwerde ist einzutreten.</w:t>
      </w:r>
    </w:p>
    <w:p>
      <w:r>
        <w:rPr>
          <w:b/>
        </w:rPr>
        <w:t>E. 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3.       Die Beschwerdegegnerin hat die strittige Rückforderung verfügt, weil aufgrund der anlässlich der periodischen Überprüfung der wirtschaftlichen Verhältnisse des Beschwerdeführers eingereichten Lohnausweise für die Jahre 2021 und 2022 ein höheres Erwerbseinkommen des Beschwerdeführers ausgewiesen war als in der EL-Berechnung berücksichtigt.</w:t>
      </w:r>
    </w:p>
    <w:p>
      <w:r>
        <w:t>Es ist unbestritten, dass die veränderten Einkommensverhältnisse einen meldepflichtigen Tatbestand nach Art. 31 ATSG darstellt und der Beschwerdeführer um diese Meldepflicht wusste. Der Beschwerdeführer stellt sich in der Beschwerde auf den Standpunkt, er habe die Meldepflicht erfüllt, indem er der Beschwerdegegnerin die Lohnausweise jeweils Anfang Jahr zugestellt habe; dass diese dort nicht eingegangen seien, könne ihm nicht zum Nachteil gereichen (A.S. 5). Die Beschwerdegegnerin indes bringt vor, die Lohnausweise erst nach Aufforderung und entsprechender Mahnung im Rahmen der Überprüfung der wirtschaftlichen Verhältnisse erhalten zu haben (A.S. 3). Die Frage, ob der Beschwerdeführer seiner Meldepflicht nachgekommen ist, ist wesentlich in Bezug auf die Frage, ob der Beschwerdeführer sich hinsichtlich der zu viel ausgerichteten Ergänzungsleistungen auf den guten Glauben berufen kann oder nicht. Dies ist nachfolgend zu prüfen.</w:t>
      </w:r>
    </w:p>
    <w:p>
      <w:r>
        <w:t>3.1</w:t>
      </w:r>
    </w:p>
    <w:p>
      <w:r>
        <w:t>3.1.1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w:t>
      </w:r>
    </w:p>
    <w:p>
      <w:r>
        <w:t>3.1.2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 H.).</w:t>
      </w:r>
    </w:p>
    <w:p>
      <w:r>
        <w:t>3.1.3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Pra 1999 Nr. 170 S. 886, 2A.635/1998 E. 4a). Der verfassungsmässige Anspruch auf eine geordnete und übersichtliche Aktenführung verpflichtet die Behörden und Gerichte, die Vollständigkeit der im Verfahren eingebrachten und erstellten Akten sicherzustellen (SVR 2011 IV Nr. 44 S. 131, Urteil des Bundesgerichts 8C_319/2010 vom 15. Dezember 2010 E. 2.2.1; Urteil des Bundesgerichts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w:t>
      </w:r>
    </w:p>
    <w:p>
      <w:r>
        <w:t>3.2.    Der Beschwerdeführer bringt vor, der Zweigstelle bzw. der Beschwerdegegnerin rechtzeitig und unaufgefordert Unterlagen eingereicht zu haben, welche seine veränderten Einkommensverhältnisse belegten, diese seien dort allerdings nicht registriert worden. Aus der Einreichung dieser Dokumente leitet er die Erfüllung seiner Meldepflicht ab. In den Akten der Beschwerdegegnerin sind seine Vorbringen nicht dokumentiert, was der Beschwerdeführer damit begründet, die von ihm eingereichten Dokumente seien dort untergegangen. Er legt indes weder konkrete Korrespondenz mit oder von der Beschwerdegegnerin/der Zweigstelle oder Belege für den Versand selbiger vor, um sein Vorbringen zu belegen. Hinweise darauf, wonach die Akten möglicherweise unvollständig sein könnten und die Beschwerdegegnerin ihre Aktenführungspflicht vernachlässigt hätte, ergeben sich daher keine. Es ist deshalb aufgrund der vorliegenden Akten zu entscheiden.</w:t>
      </w:r>
    </w:p>
    <w:p>
      <w:r>
        <w:t>3.3</w:t>
      </w:r>
    </w:p>
    <w:p>
      <w:r>
        <w:t>3.3.1  In den Akten finden sich die betreffenden Lohnausweise aus den Jahren 2021 und 2022 chronologisch erst nach Einleitung der periodischen Überprüfung im August 2022. Der Lohnausweis 2021 ist der Beschwerdegegnerin respektive der Zweigstelle ausweislich der Akten am 5. September 2022 zugegangen, zusammen mit einigen monatlichen Lohnabrechnungen aus dem jeweiligen Jahr (AK-Nr. 193 ff.). Vor diesem Datum ist keine Meldung über veränderte Einkommensverhältnisse betreffend das Jahr 2022 durch den Beschwerdeführer aktenkundig. Zur Einreichung von aktuellen Lohnabrechnung hat die Beschwerdegegnerin den Beschwerdeführer erstmals im September 2022 im von ihm ausgefüllten EL-Formular (AK-Nr. 184), danach erneut am 9. Mai 2023 aufgefordert (AK-Nr. 73), woraufhin in den Akten als nächstes der Lohnausweis 2022 dokumentiert ist (AK-Nr. 74). Dass die Lohnausweise oder ‑abrechnungen zuvor, wie vom Beschwerdeführer behauptet, der Zweigstelle zugestellt worden wären, ist anhand der Akten nicht erstellt. Der Beschwerdeführer erklärt dies damit, die Lohnausweise seien bei der Zweigstelle untergegangen, nachdem er diese dort eingereicht habe. Er belegt sein Vorbringen jedoch nicht; insbesondere nicht mit Versandnachweisen.</w:t>
      </w:r>
    </w:p>
    <w:p>
      <w:r>
        <w:t>3.3.2  Andere Dokumente, welche auf eine Meldung veränderter Einkommensverhältnisse durch den Beschwerdeführer schliessen liessen, finden sich nicht in den Akten. Ausweislich der Akten hat der Beschwerdeführer auch nicht zeitnah nach Erhalt des erhöhten Einkommens 2021 um Neuberechnung seines EL-Anspruches aufgrund veränderter (erhöhter) Einkommensverhältnisse ersucht, noch hat er bei der Beschwerdegegnerin interveniert, nachdem diese ihm nach seiner von ihm behaupteten Meldung der veränderten Einkommensverhältnisse weiterhin in unverändertem Ausmass EL ausgerichtet hat, was ihn bei erfolgter Meldung hätte skeptisch machen und zur Nachfrage bei der Beschwerdegegnerin hätte bewegen müssen.</w:t>
      </w:r>
    </w:p>
    <w:p>
      <w:r>
        <w:t>3.3.3  Im Rahmen einer Gesamtbetrachtung ist auch zu berücksichtigen, dass schon früher eine analoge Situation entstand. Mit Verfügung vom 2. Juni 2020 (AK-Nr. 329) musste die Beschwerdegegnerin die Ergänzungsleistungen rückwirkend ab 1. Januar 2018 neu festlegen und einen Betrag von CHF 5'541.00 zurückfordern. Auch damals erfolgte eine Anpassung des Erwerbseinkommens, nachdem am 15. Mai 2020 (nach vorgängiger Mahnung) der Lohnausweis 2019 und kurz vorher der Lohnausweis 2018 eingereicht worden war (vgl. AK-Nrn. 345  350). Dem Beschwerdeführer musste deshalb bewusst sein, dass sich das Erwerbseinkommen auf die Leistung auswirkte und sowohl Änderungen gemeldet als auch die Berechnungen kontrolliert werden müssen.</w:t>
      </w:r>
    </w:p>
    <w:p>
      <w:r>
        <w:t>3.3.4  Vor dem Hintergrund dieser Aktenlage kann nicht davon ausgegangen werden, dass der Beschwerdeführer die veränderten Vermögensverhältnisse gemeldet und hernach weiterhin gutgläubig summenmässig unveränderte EL bezogen hat. Gemäss bundesgerichtlicher Rechtsprechung wäre selbst im Fall einer Beweislosigkeit zu Ungunsten des Beschwerdeführers zu entscheiden, da dieser seine Gutgläubigkeit beim unrechtmässigen Weiterbezug der zu viel ausgerichteten EL auf die strittige, unbewiesene Meldung an die Zweigstelle stützt (vgl. BGE 138 V 218 E. 7) und überdies Hinweise darauf gehabt hat, dass eine solche dort nie eingegangen ist, nachdem ihm die Beschwerdegegnerin weiterhin unverändert Ergänzungsleistungen ausgerichtet hat (vgl. E. 3.3.2 hiervor). Der gute Glaube kann daher nicht bejaht werden.</w:t>
      </w:r>
    </w:p>
    <w:p>
      <w:r>
        <w:t>4.       Da bereits die Erlassvoraussetzung des guten Glaubens nicht gegeben ist, ist nicht weiter zur prüfen, ob die kumulativ erforderliche Voraussetzung der grossen Härte vorliegt. Die Beschwerde ist abzuweisen.</w:t>
      </w:r>
    </w:p>
    <w:p>
      <w:r>
        <w:t>5.2     Bei Streitigkeiten über Leistungen ist das Verfahren kostenpflichtig, wenn dies im jeweiligen Einzelgesetz vorgesehen ist (Art. 61 lit. fbisATSG). Da das Bundesgesetz über die Ergänzungsleistungen zur Alters-, Hinterlassenen- und Invalidenversicherung (ELG, SR 831.30)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Der Vizepräsident                     Die Gerichtsschreiberin</w:t>
      </w:r>
    </w:p>
    <w:p>
      <w:r>
        <w:t>Flückiger                                   Studer</w:t>
      </w:r>
    </w:p>
    <w:p>
      <w:r>
        <w:rPr>
          <w:b/>
        </w:rPr>
        <w:t>E. 5</w:t>
      </w:r>
    </w:p>
    <w:p>
      <w:r>
        <w:t>5.1     Bei diesem Verfahrensausgang besteht kein Anspruch auf eine Parteientschädigung. 5.2     Bei Streitigkeiten über Leistungen ist das Verfahren kostenpflichtig, wenn dies im jeweiligen Einzelgesetz vorgesehen ist (Art. 61 lit. f bis ATSG). Da das Bundesgesetz über die Ergänzungsleistungen zur Alters-, Hinterlassenen- und Invalidenversicherung (ELG, SR 831.30)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