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VSBES.2023.211 vom 19. April 2024</w:t>
      </w:r>
    </w:p>
    <w:p>
      <w:r>
        <w:t>SO Obergericht, 2024-04-19, DE</w:t>
      </w:r>
    </w:p>
    <w:p>
      <w:r>
        <w:rPr>
          <w:b/>
        </w:rPr>
        <w:t xml:space="preserve">Quelle: </w:t>
      </w:r>
      <w:r>
        <w:t>https://mcp.opencaselaw.ch/entscheid/so_gerichte_VSBES.2023.211_d20240419</w:t>
      </w:r>
    </w:p>
    <w:p>
      <w:r>
        <w:t>FR: SO_GERICHTE VSBES.2023.211 du 19 avril 2024</w:t>
      </w:r>
    </w:p>
    <w:p>
      <w:r>
        <w:t>IT: SO_GERICHTE VSBES.2023.211 del 19 aprile 2024</w:t>
      </w:r>
    </w:p>
    <w:p>
      <w:pPr>
        <w:pStyle w:val="Heading2"/>
      </w:pPr>
      <w:r>
        <w:t>Regeste</w:t>
      </w:r>
    </w:p>
    <w:p>
      <w:r>
        <w:t>Gewährung der unentgeltlichen Rechtspflege</w:t>
      </w:r>
    </w:p>
    <w:p>
      <w:pPr>
        <w:pStyle w:val="Heading2"/>
      </w:pPr>
      <w:r>
        <w:t>Erwägungen</w:t>
      </w:r>
    </w:p>
    <w:p>
      <w:r>
        <w:rPr>
          <w:b/>
        </w:rPr>
        <w:t>E. 1</w:t>
      </w:r>
    </w:p>
    <w:p>
      <w:r>
        <w:t>Die Verfügung vom 7. Juli 2023 sei aufzuheben.</w:t>
      </w:r>
    </w:p>
    <w:p>
      <w:r>
        <w:rPr>
          <w:b/>
        </w:rPr>
        <w:t>E. 2</w:t>
      </w:r>
    </w:p>
    <w:p>
      <w:r>
        <w:t>Die Beschwerdegegnerin sei zu verpflichten, dem Beschwerdeführer im vorinstanzlichen Verfahren die vollumfängliche unentgeltliche Rechtspflege unter Beigabe des unterzeichneten Rechtsanwaltes zu gewähren.</w:t>
      </w:r>
    </w:p>
    <w:p>
      <w:r>
        <w:rPr>
          <w:b/>
        </w:rPr>
        <w:t>E. 2.1</w:t>
      </w:r>
    </w:p>
    <w:p>
      <w:r>
        <w:t>Der versicherten Person wird im verwaltungsinternen Sozialversicherungsverfahren ein unentgeltlicher Rechtsbeistand bewilligt, sofern es die Verhältnisse erfordern (Art. 37 Abs. 4 Bundesgesetz über den Allgemeinen Teil des Sozialversicherungsrechts / ATSG, SR 830.1) . Die unentgeltliche Verbeiständung setzt kumulativ voraus, dass die versicherte Person bedürftig ist, ihre Begehren nicht aussichtslos sind und die Vertretung sachlich geboten ist (Franziska Martha Betschart in: Ghislaine Frésard-Fellay / Barbara Klett / Susanne Leuzinger [Hrsg.], Basler Kommentar zum ATSG, Basel 2020, Art. 37 N 37). Im verwaltungsinternen Verfahren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Betschart, a.a.O., Art. 37 N 46). Zeitlich lässt sich der Anspruch auf unentgeltliche Verbeiständung im verwaltungsinternen Verfahren nicht generell, d.h. auf ein bestimmtes Verfahrensstadium, beschränken (BGE 125 V 32 E. 4c S. 36). 2.2    Ob die Vertretung im verwaltungsinternen Verfahren erforderlich ist, richtet sich nach den Umständen des konkreten Einzelfalls.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9C_565/2020 vom 17. März 2021 E. 3.1.1). Der im verwaltungsinternen Verfahren geltende Untersuchungsgrundsatz (s. dazu Art. 43 Abs. 1 ATSG) rechtfertigt es, an die Voraussetzungen, unter denen eine anwaltliche Verbeiständung sachlich geboten ist, einen strengen Massstab anzulegen (BGE 125 V 32 E. 4b S. 36; Betschart, a.a.O., Art. 37 N 48). Die anwaltliche Vertretung im Verwaltungsverfahren drängt sich mit anderen Worten nur in Ausnahmefällen auf, d.h. wenn die Angelegenheit rechtlich oder tatsächlich schwierig ist und eine gehörige Interessenwahrung durch Verbandsvertreter, Fürsorger oder andere Fach- und Vertrauensleute sozialer Institutionen ausser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9C_565/2020 vom 17. März 2021 E. 3.1.1). Die Stellungnahme zu einem medizinischen Gutachten erfordert zwar regelmässig gewisse medizinische Kenntnisse und einen gewissen juristischen Sachverstand, um Schwachstellen einer fachärztlichen Expertise und deren rechtliche Relevanz zu erkennen. Die hohe Bedeutung medizinischer Gutachten vermag aber für sich allein genommen keine Notwendigkeit einer anwaltlichen Vertretung zu begründen. Die gegenteilige Auffassung liefe darauf hinaus, dass der Anspruch auf unentgeltliche Rechtsverbeiständung im Verwaltungsverfahren kaum verneint werden könnte, wenn ein medizinisches Gutachten zur Diskussion steht, was der Konzeption von Art. 37 Abs. 4 ATSG als einer Ausnahmeregelung widerspräche (Urteil des Bundesgerichts 8C_149/2021 vom 18. Mai 2021 E. 5.2; Betschart, a.a.O., Art. 37 N 48 + 52). Weiter stehen in der Invalidenversicherung zwar regelmässig finanzielle Leistungen von erheblicher Bedeutung zur Diskussion. Das Abstellen auf das finanzielle Moment hätte indes zur Folge, dass der Anspruch auf unentgeltliche Verbeiständung in praktisch allen oder zumindest den meisten Verfahren bejaht werden müsste, was einem generellen Anspruch auf einen unentgeltlichen anwaltlichen Vertreter im Verwaltungsverfahren gleichkäme (Urteil des Bundesgerichts 9C_559/2012 vom 27. November 2012 E. 6.2).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(Betschart, a.a.O., Art. 37 N 50). 3. 3.1    Nach dem in E. II. 2. hiervor Gesagten setzt das Gewähren der unentgeltlichen Verbeiständung im Verwaltungsverfahren in der Regel voraus, dass der Fall wesentlich grössere Schwierigkeiten rechtlicher oder tatsächlicher Art aufweist als ein invalidenversicherungsrechtlicher «Durchschnittsfall». Es ist daher zu prüfen, ob die vorliegende Angelegenheit besondere Schwierigkeiten aufweist oder beim Beschwerdeführer ein besonderer Unterstützungsbedarf vorliegt, der nur durch eine anwaltliche (und nicht durch eine anderweitige) Vertretung abgedeckt werden kann.</w:t>
      </w:r>
    </w:p>
    <w:p>
      <w:r>
        <w:rPr>
          <w:b/>
        </w:rPr>
        <w:t>E. 3</w:t>
      </w:r>
    </w:p>
    <w:p>
      <w:r>
        <w:t>Dem Beschwerdeführer sei im Verfahren vor dem Versicherungsgericht die vollumfängliche unentgeltliche Rechtspflege unter Beigabe des unterzeichneten Rechtsanwaltes zu gewähren.</w:t>
      </w:r>
    </w:p>
    <w:p>
      <w:r>
        <w:rPr>
          <w:b/>
        </w:rPr>
        <w:t>E. 3.2.1</w:t>
      </w:r>
    </w:p>
    <w:p>
      <w:r>
        <w:t>Eine besondere rechtliche oder tatsächliche Schwierigkeit ergibt sich nicht bereits daraus, dass Themen zur Diskussion stehen, mit welchen die versicherte Person nicht vertraut ist. Erforderlich ist vielmehr, dass der Fall Aspekte aufweist, die diesen deutlich komplexer oder schwieriger erscheinen lassen als einen invalidenversicherungsrechtlichen «Durchschnittsfall». Besondere Schwierigkeiten können beispielsweise aus der verfahrensrechtlichen Ausgangslage resultieren. Diese präsentiert sich hier jedoch vergleichsweise einfach: Es geht darum, ob der Beschwerdeführer einen Anspruch auf Leistungen der Invalidenversicherung hat. Dabei handelt es sich um eine Erstanmeldung und die Beschwerdegegnerin hat, nachdem berufliche Eingliederungsversuche, die nach dem Unfall unternommen wurden, erfolglos geblieben waren, im Rahmen ihrer Abklärungen ein medizinisches Gutachten veranlasst, um den rechtserheblichen medizinischen Sachverhalt zu ermitteln. Gestützt auf das eingeholte Gutachten gelangt sie zum Schluss, das Leistungsbegehren abzuweisen (vgl. auch E. I. 1 hiervor). Eine überdurchschnittliche verfahrensmässige Schwierigkeit oder Komplexität liegt damit nicht vor. Eine solche kann beispielsweise vorliegen, wenn die Angelegenheit wiederholt durch das Gericht an die Verwaltung zurückgewiesen wird, oder wenn gravierende Verfahrensfehler zur Diskussion stehen. So verhält es sich hier indes nicht.</w:t>
      </w:r>
    </w:p>
    <w:p>
      <w:r>
        <w:rPr>
          <w:b/>
        </w:rPr>
        <w:t>E. 3.2.2</w:t>
      </w:r>
    </w:p>
    <w:p>
      <w:r>
        <w:t>Inhaltlich steht die Würdigung der medizinischen Unterlagen, insbesondere des polydisziplinären Gutachtens der Begutachtungsstelle B.___ vom 7. Dezember 2021, im Vordergrund. Die Rechtsprechung anerkennt zwar, dass das Erkennen von Schwachstellen einer fachärztlichen Expertise aufgrund der diesbezüglich massgebenden Grundsätze (vgl. BGE 125 V 351 E. 3a S. 352) in der Regel gewisse medizinische Kenntnisse und juristischen Sachverstand erfordert. Solche Fragestellungen begründen aber nicht ohne Weiteres eine Komplexität, die eine anwaltliche Verbeiständung erfordern würde. Das Bundesgericht führt dazu in E. 5.2 seines Urteils 9C_908/2012 vom 22. Februar 2013 aus, die hohe Bedeutung medizinischer Gutachten vermöge ebenso wenig wie die Anforderungen an die Unbefangenheit der Sachverständigen für sich allein genommen die Notwendigkeit einer anwaltlichen Vertretung zu begründen. Es bedürfe mithin weiterer Umstände, welche die Sache als nicht (mehr) einfach und eine anwaltliche Vertretung als notwendig erscheinen liessen (Urteile des Bundesgerichts 9C_676/2012 vom 21. November 2012 E. 3.2.2, 9C_908/2012 vom 22. Februar 2013 E. 5.2, 9C_993/2012 vom 16. April 2013 E. 4.1). Solche Umstände können etwa vorliegen, wenn heikle Abgrenzungen zwischen psychischer Störung, Suchtleiden und psychosozialen sowie soziokulturellen Belastungsfaktoren im Vordergrund stehen (vgl. Urteil des Bundesgerichts 9C_29/2017 vom 9. April 2017 E. 3.2). Denkbar ist beispielsweise auch, dass eine aussergewöhnliche Komplexität vorliegt, weil der Sachverhalt unübersichtlich und die Aktenlage lückenhaft ist (vgl. Urteil des Bundesgerichts 9C_680/2016 vom 14. Juni 2017 E. 4.4). Derartige oder vergleichbare, eine besondere Komplexität oder Schwierigkeit begründende Umstände sind im vorliegenden Verfahren nicht ersichtlich. Entgegen der Auffassung des Beschwerdeführers ergeben sie sich namentlich nicht bereits daraus, dass sich ein medizinisches Gutachten allenfalls widersprüchlich und nicht als vollständig erweisen und sich gegebenenfalls die Frage nach der Notwendigkeit weiterer Abklärungen stellen könnte. Denn derartige Konstellationen bilden durchaus keine Seltenheit und es kann daraus auch nicht auf einen derart unübersichtlichen Sachverhalt geschlossen werden, dass dies eine aussergewöhnliche Komplexität zu begründen vermöchte. Was den Einwand des Beschwerdeführers anbelangt, das IV-Dossier umfasse zwischenzeitlich über 1'300 Seiten, so ist er darauf hinzuweisen, dass ein grosser Teil der Aktenmenge von der Unfallversicherung im parallellaufenden UVG-Verfahren eingeholt wurde. Diese Unterlagen enthalten neben den Berichten der behandelnden Ärzte Beurteilungen der Suva-Kreisärzte. Mittlerweile liegt aus unfallversicherungsrechtlicher Sicht mit dem Urteil des Versicherungsgerichts VSBES.2020.222 vom 30. Juni 2021 bereits eine rechtskräftige Beurteilung vor.</w:t>
      </w:r>
    </w:p>
    <w:p>
      <w:r>
        <w:rPr>
          <w:b/>
        </w:rPr>
        <w:t>E. 3.2.3</w:t>
      </w:r>
    </w:p>
    <w:p>
      <w:r>
        <w:t>Zusammenfassend weist das Verwaltungsverfahren keine Elemente auf, welche geeignet wären, eine aussergewöhnliche Schwierigkeit oder Komplexität zu begründen. Es handelt sich – auch unter Berücksichtigung der Verfahrensdauer – um einen «normalen» Erstanmeldungsfall mit Veranlassung einer medizinischen Begutachtung. Im Vordergrund steht die Würdigung des eingeholten polydisziplinären Gutachtens, auf das sich der Vorbescheid vom 16. März 2023 (IV-Nr. 144) bzw. die Verfügung vom 26. Juni 2023 (IV-Nr. 153) im Wesentlichen stützen. Es stellen sich dabei Fragen, welche in invalidenversicherungsrechtlichen Verfahren üblich sind. Der Fall hebt sich nicht wesentlich von anderen Dossiers ab. Wie die Beschwerdegegnerin zudem richtigerweise festhält, stellen sich vorliegend auch keine komplexen Fragen koordinationsrechtlicher Art. Unter dem Aspekt der besonderen Schwierigkeit oder Komplexität lässt sich daher die Notwendigkeit einer anwaltlichen Verbeiständung nicht begründen. 3.3    Zu keinem anderen Ergebnis führt der Hinweis, der Beschwerdeführer sei mit seinem bildungsmässigen Hintergrund nicht in der Lage, den medizinisch und juristisch in casu relevanten Sachverhalt in genügender Weise zu erfassen. Denn die aus solchen oder ähnlichen Gründen auf Unterstützung angewiesenen Rechtsuchenden haben sich in einem – wie vorliegend gegeben – sachverhaltlich und rechtlich nicht aussergewöhnlich komplexen Verwaltungsverfahren mit dem Beizug von Fach- und Vertrauensleuten sozialer Institutionen oder unentgeltlichen Rechtsberatungen zu behelfen (vgl. Urteile des Bundesgerichts 8C_240/2018 vom 3. Mai 2018 E. 3.2, 8C_760/2016 vom 3. März 2017 E. 4.2.3, 9C_315/2009 vom 18. September 2009 E. 2.2). Dass dies objektiv nicht möglich gewesen wäre, ist auch nicht ersichtlich. Wie sodann aus den Akten ersichtlich ist, wird der Beschwerdeführer durch die Sozialen Dienste unterstützt, deren Aufgabe grundsätzlich auch die Beratung in Bezug auf Sozialversicherungsleistungen umfasst, was im Regelfall die Notwendigkeit einer anwaltlichen Vertretung ausschliesst. Es ist zwar gerichtsnotorisch, dass die Fachpersonen auf einem Sozialdienst, welche über eine Ausbildung als Sozialarbeiterin oder Sozialarbeiter verfügen, in der Regel zwar Kenntnisse des materiellen Sozialversicherungsrechts aufweisen, bei verfahrensrechtlichen Fragen aber rasch an Grenzen stossen. Ähnliches gilt auch für die übrigen von der Rechtsprechung erwähnten Verbandsvertreter, Fürsorger oder andere Fach- und Vertrauensleute sozialer Institutionen (vgl. E. II. 2.2 hiervor). Die hier gegebene Konstellation weist keine Besonderheiten auf, deren Handhabung mit den fachlichen Kenntnissen, welche bei Sozialarbeiterinnen und Sozialarbeitern üblicherweise vorausgesetzt werden können, nicht gewährleistet ist. Auch vor diesem Hintergrund kann die Verbeiständung durch einen Rechtsanwalt nicht als erforderlich gelten. Ausserdem ist festzuhalten, dass sich aus den Akten keine Hinweise ergeben, dass der Beschwerdeführer aus gesundheitlicher Sicht nicht in der Lage gewesen sein sollte, die Tragweite des Verwaltungsverfahrens abzuschätzen oder sich darin zurecht zu finden. Aus den Protokolleinträgen geht denn auch hervor, dass der Beschwerdeführer bei Unklarheiten Rücksprache mit der Beschwerdegegnerin nahm. So lässt sich den Einträgen vom 9. April und 8. Oktober 2020 entnehmen, dass sich der Beschwerdeführer nach dem Verfahrensstand erkundigt habe. Gemäss Protokolleintrag vom 9. Juni 2021 habe sich der Beschwerdeführer bei der Beschwerdegegnerin erneut nach dem Verfahrensstand erkundigt; sie hätten für Unterstützung bei beruflichen Massnahmen angefragt. Die Beschwerdegegnerin habe ihm mitgeteilt, dass eine Begutachtung notwendig sei. Er würde dafür eine schriftliche Information erhalten. Gemäss Protokolleinträgen vom 15. Juni und 18. Juli 2022 habe sich der Beschwerdeführer bei der Beschwerdegegnerin nach ausstehenden Spesen erkundigt. Sodann lässt sich dem Eintrag vom 28. November 2022 entnehmen, dass er sich wiederum nach dem Verfahrensstand erkundigt habe. Die Beschwerdegegnerin habe ihm mitgeteilt, dass sie nach Abschluss der beruflichen Massnahmen noch den Anspruch auf eine Teilrente prüfen werde. Gemäss Protokolleintrag vom 20. Januar 2023 habe sich der Beschwerdeführer schliesslich bei der Beschwerdegegnerin erkundigt, wie es weiter gehen solle, da er keine Leistungen von der Arbeitslosenversicherung erhalte. Die Beschwerdegegnerin habe ihm erklärt, dass er sich an die Sozialhilfe wenden solle, sofern er mittellos sei. 3.4    Zusammenfassend stellen sich im vorliegenden Fall weder in rechtlicher noch in tatsächlicher Hinsicht aussergewöhnlich schwierige Fragen, welche den Beizug eines Anwalts notwendig erscheinen liessen. Würde hier die Notwendigkeit einer anwaltlichen Verbeiständung bejaht, wäre kaum mehr ein Fall denkbar, in welchem diese verweigert werden könnte, wenn ein medizinisches Gutachten eingeholt und in der Folge mit dem Vorbescheid die Ablehnung des Leistungsgesuchs in Aussicht gestellt wurde. Ein solches Ergebnis stünde im Widerspruch zur dargelegten Rechtslage, wonach von einem «strengen Massstab» auszugehen ist und ein eigentlicher Ausnahmefall vorliegen muss.</w:t>
      </w:r>
    </w:p>
    <w:p>
      <w:r>
        <w:rPr>
          <w:b/>
        </w:rPr>
        <w:t>E. 4</w:t>
      </w:r>
    </w:p>
    <w:p>
      <w:r>
        <w:t>4.1    Da die Erforderlichkeit einer anwaltlichen Vertretung zu verneinen ist, ist nicht zu beanstanden, dass die Beschwerdegegnerin auf die Überprüfung der weiteren Voraussetzungen (fehlende Aussichtslosigkeit und Bedürftigkeit) verzichtet hat. Für eine allfällige Gewährung eines unentgeltlichen Rechtsbeistandes im Verwaltungsverfahren müssten sämtliche drei Voraussetzungen kumulativ erfüllt sein.</w:t>
      </w:r>
    </w:p>
    <w:p>
      <w:r>
        <w:t>4.2    Nach dem Gesagten ist die Verfügung der Beschwerdegegnerin vom 7. Juli 2023, worin das Gesuch des Beschwerdeführers um Gewährung der unentgeltlichen Rechtsverbeiständung im Vorbescheid- bzw. Verwaltungsverfahren abgewiesen wurde, nicht zu beanstanden. Die dagegen gerichtete Beschwerde ist somit abzuweisen.</w:t>
      </w:r>
    </w:p>
    <w:p>
      <w:r>
        <w:rPr>
          <w:b/>
        </w:rPr>
        <w:t>E. 5</w:t>
      </w:r>
    </w:p>
    <w:p>
      <w:r>
        <w:t>5.1    Ausgangsgemäss besteht kein Anspruch des Beschwerdeführers auf Zusprechung einer Parteientschädigung (Art. 61 lit. g ATSG).</w:t>
      </w:r>
    </w:p>
    <w:p>
      <w:r>
        <w:t>5.2    Dem Beschwerdeführer wurde die unentgeltliche Rechtspflege gewährt und es wurde ihm für das Beschwerdeverfahren Rechtsanwalt Josef Flury als unentgeltlicher Rechtsbeistand beigeordnet (vgl. E. I. 4. hiervor).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Zu entschädigen ist der Aufwand, welcher für eine sorgfältige und pflichtgemässe Vertretung erforderlich ist (§ 160 Abs. 1 i.V.m. § 161 Gebührentarif [GT, BGS 615.11]). Rechtsanwalt Flury hat am 17. November 2023 eine Kostennote eingereicht (A.S. 27 f.), worin er ein volles Honorar von insgesamt CHF 1'442.10 (Stundenansatz CHF 250.00) geltend macht. Der geltend gemachte Zeitaufwand von total 5.20 Stunden kann als angemessen gelten. Mit einem Stundenansatz von CHF 180.00 (§ 161 i.V.m. § 160 Abs. 3 GT) ergibt sich damit eine Entschädigung von CHF 1'050.10 (5.20 Std. x CHF 180.00 zuzgl. Auslagen von CHF 39.00 sowie 7.7 % MwSt.), zahlbar durch die Zentrale Gerichtskasse des Kantons Solothurn. Vorbehalten bleibt der Rückforderungsanspruch des Staates während zehn Jahren, wenn A.___ zur Nachzahlung in der Lage ist (§ 123 ZPO).</w:t>
      </w:r>
    </w:p>
    <w:p>
      <w:r>
        <w:t>Vorbehalten bleibt auch der Nachforderungsanspruch des unentgeltlichen Rechtsbeistandes (zum Stundenansatz von CHF 230.00) im Umfang von CHF 280.00 (Differenz zum vollen Honorar in Höhe von CHF 1'330.10), wenn der Beschwerdeführer zur Nachzahlung in der Lage ist (Art. 123 ZPO). Zum Nachzahlungsanspruch des unentgeltlichen Rechtsbeistandes ist anzufügen, dass hier von einem Stundenansatz von CHF 230.00 auszugehen ist. Praxisgemäss wird dieser vom Gericht in dieser Höhe festgesetzt (vgl. § 160 Abs. 2 GT), wenn wie vorliegend keine Honorarvereinbarung mit dem Klienten vorgelegt wird, in der ein höherer Ansatz vereinbart worden ist.</w:t>
      </w:r>
    </w:p>
    <w:p>
      <w:r>
        <w:t>5.3    Bei Streitigkeiten über Sozialversicherungsleistungen ist das kantonale Beschwerdeverfahren kostenpflichtig, wenn dies im jeweiligen Einzelgesetz vorgesehen ist (Art. 61 lit. fbisATSG). Eine solche Kostenpflicht besteht in der Invalidenversicherung für Streitigkeiten betreffend die Bewilligung oder Verweigerung von Leistungen (Art. 69 Abs. 1bisBundesgesetz über die Invalidenversicherung / IVG, SR 831.20). Da aber im vorliegenden Verfahren keine solchen Leistungen streitig sind, sondern die Gewährung der unentgeltlichen Rechtspflege im Verwaltungsverfahren, sind keine Verfahrenskosten zu erheben.</w:t>
      </w:r>
    </w:p>
    <w:p>
      <w:r>
        <w:t>Demnach wirderkannt:</w:t>
      </w:r>
    </w:p>
    <w:p>
      <w:r>
        <w:t>3.Die Kostenforderung des unentgeltlichen Rechtsbeistandes, Rechtsanwalt Josef Flury, wird auf CHF 1'050.10 (inkl. Auslagen und MwSt) festgesetzt, zahlbar durch die Zentrale Gerichtskasse des Kantons Solothurn. Vorbehalten bleibt der Rückforderungsanspruch des Staates während zehn Jahren sowie der Nachzahlungsanspruch des unentgeltlichen Rechtsbeistands im Betrag von CHF 280.00, wenn A.___ zur Nachzahlung in der Lage ist (Art. 123 ZPO).</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