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VSBES.2023.208 vom 26. August 2024</w:t>
      </w:r>
    </w:p>
    <w:p>
      <w:r>
        <w:t>SO Obergericht, 2024-08-26, DE</w:t>
      </w:r>
    </w:p>
    <w:p>
      <w:r>
        <w:rPr>
          <w:b/>
        </w:rPr>
        <w:t xml:space="preserve">Quelle: </w:t>
      </w:r>
      <w:r>
        <w:t>https://mcp.opencaselaw.ch/entscheid/so_gerichte_VSBES.2023.208</w:t>
      </w:r>
    </w:p>
    <w:p>
      <w:r>
        <w:t>FR: SO_GERICHTE VSBES.2023.208 du 26 août 2024</w:t>
      </w:r>
    </w:p>
    <w:p>
      <w:r>
        <w:t>IT: SO_GERICHTE VSBES.2023.208 del 26 agosto 2024</w:t>
      </w:r>
    </w:p>
    <w:p>
      <w:pPr>
        <w:pStyle w:val="Heading2"/>
      </w:pPr>
      <w:r>
        <w:t>Erwägungen</w:t>
      </w:r>
    </w:p>
    <w:p>
      <w:r>
        <w:rPr>
          <w:b/>
        </w:rPr>
        <w:t>E. 7</w:t>
      </w:r>
    </w:p>
    <w:p>
      <w:r>
        <w:t>S. 5 f.; A.S. 16 f.) anzupassen.</w:t>
      </w:r>
    </w:p>
    <w:p>
      <w:r>
        <w:t>Der Beschwerdeführer lässt sodann beantragen, es seien die Überstunden, die er regelmässig geleistet habe und die gemäss Arbeitgeberin mit CHF 2'871.80 entschädigt worden seien, dem Valideneinkommen hinzuzurechnen (Beschwerde Ziff. 7 S. 6; A.S. 17). Den vorliegenden Akten lässt sich entnehmen, dass der Beschwerdeführer die Erwerbstätigkeit bei der Firma E.___ am 1. Dezember 2016 aufgenommen hat (vgl. IV-Nr. 119, 123 S. 3). Das Arbeitsverhältnis wurde bereits per Ende März 2018 wieder aufgelöst (vgl. Suva-Nr. 101). So hat er einzig im Jahr 2017 Überstunden geleistet, welche ihm denn auch entschädigt wurden. Die Firma E.___ hat jedoch bei den durch die Unfallversicherung eingeholten Angaben zum mutmasslichen Verdienst im Jahr 2020 vom 12. Mai 2020 (Suva-Nr. 345) festgehalten, dass keine weiteren Überstunden ausbezahlt würden, diese müssten mit Freizeit gleicher Dauer kompensiert werden. Es ist daher mit überwiegender Wahrscheinlichkeit davon auszugehen, dass der Beschwerdeführer künftig nicht mit einem Zusatzeinkommen auf Grund von Überstunden hätte rechnen können. Daher sind die Überstunden korrekterweise nicht in die Berechnung des Valideneinkommens miteinzubeziehen.</w:t>
      </w:r>
    </w:p>
    <w:p>
      <w:r>
        <w:rPr>
          <w:b/>
        </w:rPr>
        <w:t>E. 7.2</w:t>
      </w:r>
    </w:p>
    <w:p>
      <w:r>
        <w:t>7.2.1Für die Festsetzung des Invalideneinkommens ist nach der Rechtsprechung primärvon der beruflich-erwerblichen Situation auszugehen, in welcher die versicherte Person konkretsteht. Übt sie nach Eintritt der Invalidität eine Erwerbstätigkeit aus, bei der  kumulativ  besondersstabile Arbeitsverhältnisse gegeben sind und anzunehmen ist, dass sie die ihr verbleibendeArbeitsfähigkeit in zumutbarer Weise voll ausschöpft, sowie das Einkommen aus der Arbeitsleistungals angemessen und nicht als Soziallohn erscheint, gilt grundsätzlich der von ihr tatsächlicherzielte Verdienst als Invalidenlohn (BGE 126 V 75 E. 3b/aa S. 76). Hat sie nach Eintritt des Gesundheitsschadenskeine oder jedenfalls keine ihr an sich zumutbare neue Erwerbstätigkeit aufgenommen, so können statistische Werte, insbesondere Tabellenlöhne nach der vom Bundesamt fürStatistik herausgegebenen Lohnstrukturerhebung (LSE) herangezogen werden (BGE 135 V297 S. 301 E. 5.2).</w:t>
      </w:r>
    </w:p>
    <w:p>
      <w:r>
        <w:rPr>
          <w:b/>
        </w:rPr>
        <w:t>E. 7.2.2</w:t>
      </w:r>
    </w:p>
    <w:p>
      <w:r>
        <w:t>Da der Beschwerdeführer die ihm noch zumutbare Restarbeitsfähigkeit nicht verwertet, ist es nicht zu beanstanden, dass die Beschwerdegegnerin beim Invalideneinkommen auf einen LSE-Tabellenlohn abgestellt hat. Die Beschwerdegegnerin hat vorliegend auf den standardisierten Bruttolohn der LSE 2018, TA1_tirage_skill Level, Total, Kompetenzniveau 1, Männer, von CHF 5'417.00 pro Monat bzw. CHF 65'004.00 pro Jahr abgestellt und diesen Betrag auf die entsprechenden Wochenstunden (: 40 x 41.7) und der Nominallohnentwicklung von 2018 - 2019 aufgerechnet, woraus sich vorbehältlich eines allfälligen Abzugs vom Tabellenlohn (s. E. II. 7.2.3 hiernach) bei einer Arbeitsfähigkeit von 39 % ein Invalideneinkommen von CHF 26'655.30 per 1. April 2019 ergibt. Dies ist nicht zu beanstanden und wird vom Beschwerdeführer im Grundsatz nicht bestritten. Er verlangt aber zusätzliche Abzüge vom Tabellenlohn, worauf nachfolgend in E. II. 7.2.3 hiernach einzugehen ist.</w:t>
      </w:r>
    </w:p>
    <w:p>
      <w:r>
        <w:rPr>
          <w:b/>
        </w:rPr>
        <w:t>E. 7.2.3</w:t>
      </w:r>
    </w:p>
    <w:p>
      <w:r>
        <w:t>Wird das Invalideneinkommen auf der Grundlage von statistischen Durchschnittswerten ermittelt, ist der entsprechende Ausgangswert (Tabellenlohn) allenfalls zu kürzen. Damit soll (nach dem bis 31. Dezember 2021 geltenden Recht; vgl. E. II. 1.3 hiervor)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gewährte dem Beschwerdeführer einen leidensbedingten Abzug von 10 %, der Beschwerdeführer verlangt einen Abzug in Höhe von 20 % oder sogar 25 % (vgl. Beschwerde Ziff. 10 S. 9 ff.; A.S. 20 ff.). Auch wenn sich aufgrund des Zumutbarkeitsprofils ein höherer Abzug diskutieren liesse, kann die Frage, in welcher Höhe ein leidensbedingter Abzug vorzunehmen ist, vorliegend offen gelassen werden. In Gegenüberstellung zum Valideneinkommen von CHF 88'200.00 (E. II. 7.1.2 hiervor) ergibt sich bereits mit einer 10%igen Reduktion  wie von der Beschwerdegegnerin vorgenommen  der Anspruch auf eine ganze Invalidenrente (vgl. E. II. 7.3 hiernach).</w:t>
      </w:r>
    </w:p>
    <w:p>
      <w:r>
        <w:t>7.3    Damit ergeben sich folgende Invaliditätsgrade: Für den Zeitraum ab Ablauf des Wartejahres im Mai 2018 bis zur Verbesserung der Arbeitsfähigkeit im April 2019 liegt ausgehend von einer vollständigen Arbeitsunfähigkeit auch in angepasster Tätigkeit eine 100%ige Invalidität des Beschwerdeführers vor. Für die Zeit nach Verbesserung der Arbeitsfähigkeit in angepasster Tätigkeit wird das Valideneinkommen von CHF 88'200.00 mit dem Invalideneinkommen von CHF 23'989.00 verglichen, woraus  unter Berücksichtigung von Art. 88a Abs. 1 Satz 2 IVV  ab 1. Juli 2019 ein Invaliditätsgrad von (gerundet) 73 % resultiert, der weiterhin zu einer ganzen Invalidenrente berechtigt. Demnach hat der Beschwerdeführer, wie in der Beschwerde beantragt, ab dem 1. Mai 2018 Anspruch auf eine unbefristete ganze Invalidenrente. Die Beschwerde ist dementsprechend gutzuheissen.Unter diesen Umständen kann auf die Durchführung einer öffentlichen Verhandlung verzichtet werden.</w:t>
      </w:r>
    </w:p>
    <w:p>
      <w:r>
        <w:rPr>
          <w:b/>
        </w:rPr>
        <w:t>E. 8</w:t>
      </w:r>
    </w:p>
    <w:p>
      <w:r>
        <w:t>8.1    Bei diesem Verfahrensausgang stehtdem Beschwerdeführer eine ordentliche Parteientschädigung zu, die von der Beschwerdegegnerin zu bezahlen ist.</w:t>
      </w:r>
    </w:p>
    <w:p>
      <w:r>
        <w:t>Rechtsanwalt Wyssmann hat zwei Kostennoten eingereicht (Kostennoten vom 15. November 2023 [A.S. 33 f.] und 15. Dezember 2023 [A.S. 39]) und einen Aufwand von total 14,38 Stunden geltend gemacht. Der zu entschädigende Zeitaufwand ist um Positionen zu reduzieren, welche praxisgemäss als Kanzleiaufwand gelten, der im Stundenansatz eines Rechtsanwalts inbegriffen ist (dazu gehören beispielsweise die Weiterleitung von Dokumenten an die Klientschaft, die Kenntnisnahme von Verfügungen, das Stellen von Fristerstreckungsgesuchen und das Einreichen der Kostennote) sowie Kontakte mit Dritten. Der Aufwand von total 14,38 Stunden reduziert sich um Kanzleiaufwand von insgesamt 3,04 Stunden (9 x «Brief an Klient» à 0,17 Stunden; 5 x «E-Mail an Coop Rechtsschutz AG» à 0,17 Stunden; 2 x «Brief an Versicherungsgericht» à 0,33 Stunden) auf 11,34 Stunden. Schliesslich wird für den nachprozessualen Aufwand bei Obsiegen praxisgemäss eine halbe Stunde eingerechnet. Damit verbleibt ein Aufwand von 10,84 Stunden (bzw. bei einem Stundenansatz von CHF 250.00) ein Honorar von CHF 2'710.00.</w:t>
      </w:r>
    </w:p>
    <w:p>
      <w:r>
        <w:t>Hinsichtlich der geltend gemachten Auslagen von insgesamt CHF 86.50 ist zu sagen, dass Kopien mit CHF 0.50 pro Stück vergütet werden und nicht mit CHF 1.00 (vgl. § 161 in Verbindung mit § 160 Abs. 5 Gebührentarif [GT, BGS 615.11]). Demnach belaufen sich die zu vergütenden Auslagen auf insgesamt CHF 54.50. Unter Berücksichtigung der Mehrwertsteuer von 7.7 % ergibt sich somit eine Parteientschädigung von CHF 2'977.35.</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Folglich ist dem Beschwerdeführer der geleistete Kostenvorschuss von CHF 1000.00 zurückzuerstatten.</w:t>
      </w:r>
    </w:p>
    <w:p>
      <w:r>
        <w:t>Demnach wirderkannt:</w:t>
      </w:r>
    </w:p>
    <w:p>
      <w:r>
        <w:t>3.Die Beschwerdegegnerin hat die Verfahrenskosten von CHF 600.00 zu bezahlen.</w:t>
      </w:r>
    </w:p>
    <w:p>
      <w:r>
        <w:t>4.Der geleistete Kostenvorschuss von CHF 1000.00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