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VSBES.2023.178 vom 6. Mai 2024</w:t>
      </w:r>
    </w:p>
    <w:p>
      <w:r>
        <w:t>SO Obergericht, 2024-05-06, DE</w:t>
      </w:r>
    </w:p>
    <w:p>
      <w:r>
        <w:rPr>
          <w:b/>
        </w:rPr>
        <w:t xml:space="preserve">Quelle: </w:t>
      </w:r>
      <w:r>
        <w:t>https://mcp.opencaselaw.ch/entscheid/so_gerichte_VSBES.2023.178</w:t>
      </w:r>
    </w:p>
    <w:p>
      <w:r>
        <w:t>FR: SO_GERICHTE VSBES.2023.178 du 6 mai 2024</w:t>
      </w:r>
    </w:p>
    <w:p>
      <w:r>
        <w:t>IT: SO_GERICHTE VSBES.2023.178 del 6 maggio 2024</w:t>
      </w:r>
    </w:p>
    <w:p>
      <w:pPr>
        <w:pStyle w:val="Heading2"/>
      </w:pPr>
      <w:r>
        <w:t>Volltext</w:t>
      </w:r>
    </w:p>
    <w:p>
      <w:r>
        <w:t>Urteilvom6. Mai 2024</w:t>
      </w:r>
    </w:p>
    <w:p>
      <w:r>
        <w:t>Es wirken mit:</w:t>
      </w:r>
    </w:p>
    <w:p>
      <w:r>
        <w:t>Präsidentin Weber-Probst</w:t>
      </w:r>
    </w:p>
    <w:p>
      <w:r>
        <w:t>Oberrichter Flückiger</w:t>
      </w:r>
    </w:p>
    <w:p>
      <w:r>
        <w:t>Ersatzrichterin Steffen</w:t>
      </w:r>
    </w:p>
    <w:p>
      <w:r>
        <w:t>Gerichtsschreiberin Yalcin</w:t>
      </w:r>
    </w:p>
    <w:p>
      <w:r>
        <w:t>In Sachen</w:t>
      </w:r>
    </w:p>
    <w:p>
      <w:r>
        <w:t>A.___</w:t>
      </w:r>
    </w:p>
    <w:p>
      <w:r>
        <w:t>Beschwerdeführer</w:t>
      </w:r>
    </w:p>
    <w:p>
      <w:r>
        <w:t>gegen</w:t>
      </w:r>
    </w:p>
    <w:p>
      <w:r>
        <w:t>Suva Rechtsabteilung,Postfach 4358, 6002 Luzern,</w:t>
      </w:r>
    </w:p>
    <w:p>
      <w:r>
        <w:t>Beschwerdegegnerin</w:t>
      </w:r>
    </w:p>
    <w:p>
      <w:r>
        <w:t>betreffendUnfallversicherung(Einspracheentscheid vom 3. Juli 2023)</w:t>
      </w:r>
    </w:p>
    <w:p>
      <w:r>
        <w:t>zieht das Versicherungsgericht inErwägung:</w:t>
      </w:r>
    </w:p>
    <w:p>
      <w:r>
        <w:t>1.      A.___ (nachfolgend: Beschwerdeführer), geboren 1963, war bei der Unfallversicherung Suva (nachfolgend: Beschwerdegegnerin) gegen die Folgen von Unfällen und Berufskrankheiten versichert, als er am 27. Oktober 2020 einen Autounfall (Auffahrkollision) erlitt. Daraufhin verspürte er Schmerzen an Nacken und Kopf (Suva-Nr. [Akten der Suva] 1).</w:t>
      </w:r>
    </w:p>
    <w:p>
      <w:r>
        <w:t>2.      In der Folge holte die Beschwerdegegnerin Unterlagen zur Arbeitsunfähigkeit und zum Unfallhergang ein und richtete dem Beschwerdeführer die gesetzlichen Leistungen (Taggelder, Heilbehandlungen) aus. Mit Verfügung vom 23. November 2022 stellte sie die Ausrichtung weiterer Versicherungsleistungen per 15. Dezember 2022 ein (Suva-Nr. 161).</w:t>
      </w:r>
    </w:p>
    <w:p>
      <w:r>
        <w:t>3.      Gegen die Verfügung der Beschwerdegegnerin erhob der Beschwerdeführer Einsprache (Suva-Nr. 165). Mit Einsprache-Entscheid vom 3. Juli 2023 wies die Beschwerdegegnerin die Einsprache ab (Aktenseite [A.S.] 1 ff.).</w:t>
      </w:r>
    </w:p>
    <w:p>
      <w:r>
        <w:t>4.      Gegen diesen Entscheid erhebt der Beschwerdeführer am 10. Juli 2023 (A.S.12 ff.) fristgerecht Beschwerde beim Versicherungsgericht des Kantons Solothurn (nachfolgend: Versicherungsgericht). Er stellt folgende Rechtsbegehren:</w:t>
      </w:r>
    </w:p>
    <w:p>
      <w:r>
        <w:t>5.      Mit Beschwerdeantwort vom 23. August 2023 (A.S. 26 ff.) schliesst die Beschwerdegegnerin auf Abweisung der Beschwerde. Der Beschwerdeführer äussert sich, wie bereits am 22. August 2023 (A.S 18 ff.), am 5. September 2023 (A.S. 30 f.) noch einmal zur Sache.</w:t>
      </w:r>
    </w:p>
    <w:p>
      <w:r>
        <w:t>6.      Die Beschwerdegegnerin dupliziert am 20. September 2023 (A.S. 34). Der Beschwerdeführer äussert sich daraufhin am 22. September 2023 ebenfalls noch einmal (A.S. 36 ff.).</w:t>
      </w:r>
    </w:p>
    <w:p>
      <w:r>
        <w:t>7.      Mit Verfügung vom 21. Februar 2024 (A.S. 43) werden die Parteien zu der vom Beschwerdeführer beantragten öffentlichen Verhandlung vor dem Versicherungsgericht vom 6. Mai 2024 vorgeladen, wobei der Beschwerdegegnerin das Erscheinen freigestellt wird.</w:t>
      </w:r>
    </w:p>
    <w:p>
      <w:r>
        <w:t>8.      Am 6. Mai 2024 führt das Versicherungsgericht die erwähnte öffentliche Verhandlung durch (vgl. Verhandlungsprotokoll vom 6. Mai 2024, A.S. 62 ff.). Die Beschwerdegegnerin, der das Erscheinen freigestellt worden ist, nimmt daran nicht teil (A.S. 45). Der Beschwerdeführer hält an seinen in der Beschwerde gestellten Rechtsbegehren fest und reicht Unterlagen (Beleg-Nr. 1 - 28) zu den Akten.</w:t>
      </w:r>
    </w:p>
    <w:p>
      <w:r>
        <w:t>9.      Auf die Ausführungen der Parteien in ihren Rechtsschriften wird nachfolgend, soweit notwendig, eingegangen.</w:t>
      </w:r>
    </w:p>
    <w:p>
      <w:r>
        <w:t>1.</w:t>
      </w:r>
    </w:p>
    <w:p>
      <w:r>
        <w:t>1.1    Die Sachurteilsvoraussetzungen (Einhaltung von Frist und Form, örtliche und sachliche Zuständigkeit des angerufenen Gerichts) sind erfüllt. Auf die Beschwerde ist einzutreten.</w:t>
      </w:r>
    </w:p>
    <w:p>
      <w:r>
        <w:t>1.2    Bei der Beurteilung des Falles ist grundsätzlich auf den Sachverhalt abzustellen, der bis zum Erlass des angefochtenen Einspracheentscheides am 3. Juli 2023 eingetreten ist (Ueli Kieserin: ATSG-Kommentar, 4. Aufl., Zürich 2020, Art. 61 N 109).</w:t>
      </w:r>
    </w:p>
    <w:p>
      <w:r>
        <w:t>1.3    Einleitend ist festzuhalten, dass es im vorliegenden Verfahren um das Unfallereignis vom 27. Oktober 2020 geht und die Frage, ob dieses zu einer Leistungspflicht der Beschwerdegegnerin führt, bei welcher der Beschwerdeführer zum Unfallzeitpunkt gegen Unfallfolgen versichert war.</w:t>
      </w:r>
    </w:p>
    <w:p>
      <w:r>
        <w:t>2.</w:t>
      </w:r>
    </w:p>
    <w:p>
      <w:r>
        <w:t>2.1Soweit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w:t>
      </w:r>
    </w:p>
    <w:p>
      <w:r>
        <w:t>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(Urteile des Bundesgerichts 8C_727/2012 vom 21. Dezember 2012 E. 3.2.2 und 8C_585/2010 vom 5. November 2010 E. 8). Eine allfällige Verbesserung allein des Leidens an sich, eine nur kurzfristige Linderung, eine blosse Verbesserung der Befindlichkeit oder dass der Versicherte etwa von Physiotherapie profitieren kann, genügt nicht. Das Bundesgericht hat es beispielsweise als ausschlaggebend erachtet, dass der Versicherte seine Erwerbstätigkeit nach ärztlicher Einschätzung dank der fraglichen weiteren Behandlung mit grosser Wahrscheinlichkeit wieder werde aufnehmen können.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(Urteil des Bundesgerichts 8C_306/2016 vom 22. September 2016 E. 5.3).</w:t>
      </w:r>
    </w:p>
    <w:p>
      <w:r>
        <w:t>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134 V 109 E. 4.1 S. 114).</w:t>
      </w:r>
    </w:p>
    <w:p>
      <w:r>
        <w:t>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w:t>
      </w:r>
    </w:p>
    <w:p>
      <w:r>
        <w:t>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129 V 177 E. 3.1 S. 181). Weiter ist für den Nachweis einer unfallkausalen gesundheitlichen Schädigung der Grundsatz «post hoc, ergo propter hoc», wonach eine gesundheitliche Schädigung schon dann als durch einen Unfall verursacht gilt, wenn sie nach diesem aufgetreten ist, nicht massgebend (BGE 119 V 335 E. 2b/bb S. 341). Der Beweis des natürlichen Kausalzusammenhangs (resp. seines Wegfallens) wird in erster Linie mittels Angaben der medizinischen Fachpersonen geführt (Alexandra Rumo-Jungo / André Pierre Holzer,Bundesgesetz über die Unfallversicherung, 4. Auflage 2012, S. 55).</w:t>
      </w:r>
    </w:p>
    <w:p>
      <w:r>
        <w:t>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w:t>
      </w:r>
    </w:p>
    <w:p>
      <w:r>
        <w:t>3.3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8C_879/2014 vom 26. März 2015 E. 2.2 mit Hinweis).</w:t>
      </w:r>
    </w:p>
    <w:p>
      <w:r>
        <w:t>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Streitig und zu prüfen ist, ob die Beschwerdegegnerin zu Recht ihre weitergehende Leistungspflicht bezüglich des Ereignisses vom 27. Oktober 2020 mit Einspracheentscheid vom 3. Juli 2023 (A.S. 1 ff.) verneint und ihre Leistungen per 15. Dezember 2022 eingestellt hat. Hierfür sind im Wesentlichen die nachfolgenden medizinischen Unterlagen relevant:</w:t>
      </w:r>
    </w:p>
    <w:p>
      <w:r>
        <w:t>6.6.1 Bei der Schleudertrauma-Praxis ist (analog zu den bei psychischen Fehlentwicklungen nach Unfall geltenden Grundsätzen, s. BGE 115 V 133 E. 6c/aa S. 140, aber anders als dort ohne Differenzierung zwischen physischen und psychischen Komponenten, s. BGE 117 V 359 E. 5d/aa S. 364 und E. 6a S. 367) für die Prüfung des adäquaten Kausalzusammenhangs zunächst vom Unfallereignis auszugehen. Dieses ist einer der drei folgenden Gruppen zuzuordnen: Banale bzw. leichte Unfälle einerseits, schwere Unfälle anderseits und schliesslich der dazwischenliegende mittlere Bereich (BGE 115 V 133 E. 6 S. 138 f.). Die Unfallschwere beurteilt sich nach dem augenfälligen Geschehensablauf und den sich dabei entwickelnden Kräften, während die Unfallfolgen sowie Begleitumstände, die nicht direkt dem Unfallgeschehen zugeordnet werden können, ausser Acht bleiben (Rumo-Jungo / Holzer, Rechtsprechung des Bundesgerichts zum UVG, 4. Aufl., Zürich 2012, S. 61). Bei leichten Unfällen ist die Adäquanz in der Regel ohne weiteres zu verneinen, bei schweren wiederum zu bejahen. Handelt es sich um einen Unfall im mittleren Bereich, lässt sich die Frage, ob zwischen Unfall und Erwerbsunfähigkeit ein adäquater Kausalzusammenhang besteht, nicht aufgrund des Unfallereignisses allein schlüssig beantworten; es sind weitere, objektiv erfassbare Umstände, welche unmittelbar mit dem Unfall im Zusammenhang stehen oder als direkte bzw. indirekte Folgen davon erscheinen, in eine Gesamtwürdigung einzubeziehen (BGE 134 V 109 E. 10.1 S. 126). Diese Kriterien lauten nach der präzisierten Rechtsprechung wie folgt:</w:t>
      </w:r>
    </w:p>
    <w:p>
      <w:r>
        <w:t>− Besonders dramatische Begleitumstände oder besondere Eindrücklichkeit des Unfalls;</w:t>
      </w:r>
    </w:p>
    <w:p>
      <w:r>
        <w:t>− Schwere oder besondere Art der erlittenen Verletzungen;</w:t>
      </w:r>
    </w:p>
    <w:p>
      <w:r>
        <w:t>− Fortgesetzt spezifische, belastende ärztliche Behandlung;</w:t>
      </w:r>
    </w:p>
    <w:p>
      <w:r>
        <w:t>− Erhebliche Beschwerden;</w:t>
      </w:r>
    </w:p>
    <w:p>
      <w:r>
        <w:t>− Ärztliche Fehlbehandlung, welche die Unfallfolgen erheblich verschlimmert;</w:t>
      </w:r>
    </w:p>
    <w:p>
      <w:r>
        <w:t>− Schwieriger Heilungsverlauf und erhebliche Komplikationen;</w:t>
      </w:r>
    </w:p>
    <w:p>
      <w:r>
        <w:t>− Erhebliche Arbeitsunfähigkeit trotz ausgewiesener Anstrengungen.</w:t>
      </w:r>
    </w:p>
    <w:p>
      <w:r>
        <w:t>Bei einem im engeren Sinn mittelschweren Unfall ist die Adäquanz zu bejahen, wenn drei dieser Kriterien erfüllt sind (Rumo-Jungo / Holzer,a.a.O., S. 65). Handelt es sich um einen Unfall, der als mittelschwer im Grenzbereich zu den leichten Unfällen einstufen ist, müssen vier Kriterien erfüllt sein (a.a.O., S. 64), während bei einem mittelschweren Unfall im Grenzbereich zu den schweren Ereignissen die einfache Erfüllung eines der Kriterien ausreicht (a.a.O., S. 67). Im gesamten mittleren Bereich kann jedoch ein einziges Kriterium genügen, wenn es in besonders ausgeprägter Weise erfüllt ist (BGE 134 V 109 E. 10.1 S. 126 f.).</w:t>
      </w:r>
    </w:p>
    <w:p>
      <w:r>
        <w:t>7.</w:t>
      </w:r>
    </w:p>
    <w:p>
      <w:r>
        <w:t>7.1    Zusammenfassend ist die Unfallkausalität zu verneinen und es ist nicht zu beanstanden, dass die Beschwerdegegnerin ihre weitergehende Leistungspflicht im Zusammenhang mit dem Unfallereignis vom 27. Oktober 2020 verneinte und ihre Leistungen per 15. Dezember 2022 einstellte. Zudem sind die gestützt auf die vorgehenden Ausführungen die vom Beschwerdeführer beantragten weiteren medizinischen Untersuchungen in antizipierter Beweiswürdigung abzuweisen. Somit ist die Beschwerde abzuweisen.</w:t>
      </w:r>
    </w:p>
    <w:p>
      <w:r>
        <w:t>7.3    Grundsätzlich ist das Verfahren kostenlos. Von diesem Grundsatz abzuweichen, besteht im vorliegenden Fall kein Anlass.</w:t>
      </w:r>
    </w:p>
    <w:p>
      <w:r>
        <w:t>Demnach wirderkannt:</w:t>
      </w:r>
    </w:p>
    <w:p>
      <w:r>
        <w:t>3.Es werden keine Verfahrenskosten erhoben.</w:t>
      </w:r>
    </w:p>
    <w:p>
      <w:r>
        <w:t>4.Je eine Kopie des Protokolls der Verhandlung vom 6. Mai 2024 geht an die Parteien.</w:t>
      </w:r>
    </w:p>
    <w:p>
      <w:r>
        <w:t>5.Je eine Kopie der an der öffentlichen Verhandlung vom 6. Mai 2024 eingereichten Unterlagen (Beleg-Nr. 1 - 28) geht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Die Gerichtsschreiberin</w:t>
      </w:r>
    </w:p>
    <w:p>
      <w:r>
        <w:t>Weber-Probst                           Yalcin</w:t>
      </w:r>
    </w:p>
    <w:p>
      <w:r>
        <w:t>Der vorliegende Entscheid wurde vom Bundesgericht mit Urteil 8C_324/2024 vom 27. Mai 2025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