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VSBES.2022.67 vom 21. März 2022</w:t>
      </w:r>
    </w:p>
    <w:p>
      <w:r>
        <w:t>SO Obergericht, 2022-03-21, DE</w:t>
      </w:r>
    </w:p>
    <w:p>
      <w:r>
        <w:rPr>
          <w:b/>
        </w:rPr>
        <w:t xml:space="preserve">Quelle: </w:t>
      </w:r>
      <w:r>
        <w:t>https://mcp.opencaselaw.ch/entscheid/so_gerichte_VSBES.2022.67</w:t>
      </w:r>
    </w:p>
    <w:p>
      <w:r>
        <w:t>FR: SO_GERICHTE VSBES.2022.67 du 21 mars 2022</w:t>
      </w:r>
    </w:p>
    <w:p>
      <w:r>
        <w:t>IT: SO_GERICHTE VSBES.2022.67 del 21 marzo 2022</w:t>
      </w:r>
    </w:p>
    <w:p>
      <w:pPr>
        <w:pStyle w:val="Heading2"/>
      </w:pPr>
      <w:r>
        <w:t>Erwägungen</w:t>
      </w:r>
    </w:p>
    <w:p>
      <w:r>
        <w:rPr>
          <w:b/>
        </w:rPr>
        <w:t>E. 1</w:t>
      </w:r>
    </w:p>
    <w:p>
      <w:r>
        <w:t>1.1     Die Sachurteilsvoraussetzungen (Einhaltung von Frist und Form, örtliche und sachliche Zuständigkeit des angerufenen Gerichts) sind erfüllt. 1.2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wird eine gesundheitliche Beeinträchtigung seit 24. September 1999 [gemeint wohl: 2019] geltend gemacht (IV-Nr. 17 S. 5), d.h. eine rentenbegründende Invalidität könnte erst nach Ablauf der einjährigen Wartezeit am 24. September 2020 vorliegen. Der Rentenanspruch wiederum entsteht – sofern die entsprechenden Anspruchsvoraussetzungen gegeben sind – frühestens sechs Monate nach Geltendmachung des Leistungsanspruchs (vgl. Anmeldung vom 26. Februar 2020, IV-Nr. 7), was hier im September 2020 der Fall wäre. Ein allfälliger Rentenanspruch könnte demnach frühestens ab September 2020 gegeben sein. Dieser Zeitpunkt liegt vor dem Inkrafttreten des revidierten Bundesgesetzes über die Invalidenversicherung (IVG, SR 831.20) sowie der revidierten Verordnung über die Invalidenversicherung (IVV, SR 831.201) vom 1. Januar 2022. Anwendbar sind demzufolge, soweit die Gesetzesänderung die hier interessierenden Leistungen betrifft, die bis 31. Dezember 2021 gültig gewesenen Fassungen des IVG und der IVV (vgl. Urteil des Bundesgerichts 8C_766/2021 vom 18. März 2022 E. 3.1). 2.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rPr>
          <w:b/>
        </w:rPr>
        <w:t>E. 3</w:t>
      </w:r>
    </w:p>
    <w:p>
      <w:r>
        <w:t>Grosses postoperatives Hämatom sowie multiple Hämatome nach Minortraumata mit Verdacht auf Gerinnungsstörung − 12. Mai 2020: Quick 130 % Nebendiagnosen seien:</w:t>
      </w:r>
    </w:p>
    <w:p>
      <w:r>
        <w:rPr>
          <w:b/>
        </w:rPr>
        <w:t>E. 4</w:t>
      </w:r>
    </w:p>
    <w:p>
      <w:r>
        <w:t>Status nach thorakalen Schmerzen − Nicht-invasiver Ausschluss KHK: − Echokardiographie 5. Mai 2020: Konzentrisches Remodeling linker Ventrikel mit normaler systolischer Funktion (LVEF 78 %), normale Diastologie, keine Rechts-Herzbelastung, keine pulmonale Druckerhöhung − Dobutamin-Stressechokardiographie 5. Mai 2020: Kein Nachweis einer belastungsinduzierten Wandbewegungsstörung − cvRf: Nikotinkonsum (60 py), Lipidstatus unbekannt</w:t>
      </w:r>
    </w:p>
    <w:p>
      <w:r>
        <w:rPr>
          <w:b/>
        </w:rPr>
        <w:t>E. 5</w:t>
      </w:r>
    </w:p>
    <w:p>
      <w:r>
        <w:t>Exazerbation einer hochwahrscheinlichen, bisher noch nicht diagnostizierten COPD April 2020 − Klinik: starke Dyspnoe, Zunahme eines chronischen Hustens mit morgendlichem Auswurf − Diagnostik: − 6. April 2020 CT-Thorax mit Kontrastmittel: Nicht auszuschliessende beginnende virale Infiltration im Bereich der Lungenspitzenregion linksseitig, deutliche Zeichen der Bronchitis mit Wandverdickung des zentralen Bronchialsystems, kein Anhalt für grössere umschriebene Infiltrate, keine umschriebene Raumforderung, kein Hinweis auf eine Lungenembolie − 6. April 2020 SARS-CoV2-Abstrich: negativ − 6. April 2020 Influenza Abstrich: negativ − 8. April 2020 ABGA: respiratorische Partialinsuffizienz, pO2 8.03 kPa − Therapie: − Inhalation mit Ventolin − Interesse an einem Rauchstopp, Unterstützung durch Rauchstoppberatung − Risikofaktoren: persistierender Nikotinkonsum (70 py, aktuell)</w:t>
      </w:r>
    </w:p>
    <w:p>
      <w:r>
        <w:rPr>
          <w:b/>
        </w:rPr>
        <w:t>E. 6</w:t>
      </w:r>
    </w:p>
    <w:p>
      <w:r>
        <w:t>Anamnestisch Status nach multiplen Lungenembolien − orale Antikoagulation</w:t>
      </w:r>
    </w:p>
    <w:p>
      <w:r>
        <w:rPr>
          <w:b/>
        </w:rPr>
        <w:t>E. 7</w:t>
      </w:r>
    </w:p>
    <w:p>
      <w:r>
        <w:t>Chronischer Alkoholüberkonsum − Status nach Speed- und Kokain-Abusus (zuletzt 2019) − Aktuell April 2020: 1 – 2 Flaschen Bier</w:t>
      </w:r>
    </w:p>
    <w:p>
      <w:r>
        <w:rPr>
          <w:b/>
        </w:rPr>
        <w:t>E. 8</w:t>
      </w:r>
    </w:p>
    <w:p>
      <w:r>
        <w:t>Depressive Problematik mit Substanz-Abusus − Status nach Verletzung in suizidaler Absicht am 12. September 2018 − unter Trittico und Escitalopram</w:t>
      </w:r>
    </w:p>
    <w:p>
      <w:r>
        <w:rPr>
          <w:b/>
        </w:rPr>
        <w:t>E. 9</w:t>
      </w:r>
    </w:p>
    <w:p>
      <w:r>
        <w:t>9.1     Die Beschwerdeführerin steht ab Prozessbeginn im Genusse der unentgeltlichen Rechtspflege (vgl. E. I. 6 hiervor).</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Schweizerische Zivilprozessordnung [ZPO, SR 272]). Vorbehalten bleibt der Rückforderungsanspruch des Staates während zehn Jahren, wenn A.___ zur Nachzahlungin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