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VSBES.2022.226 vom 13. Mai 2024</w:t>
      </w:r>
    </w:p>
    <w:p>
      <w:r>
        <w:t>SO Obergericht, 2024-05-13, DE</w:t>
      </w:r>
    </w:p>
    <w:p>
      <w:r>
        <w:rPr>
          <w:b/>
        </w:rPr>
        <w:t xml:space="preserve">Quelle: </w:t>
      </w:r>
      <w:r>
        <w:t>https://mcp.opencaselaw.ch/entscheid/so_gerichte_VSBES.2022.226_d20240513</w:t>
      </w:r>
    </w:p>
    <w:p>
      <w:r>
        <w:t>FR: SO_GERICHTE VSBES.2022.226 du 13 mai 2024</w:t>
      </w:r>
    </w:p>
    <w:p>
      <w:r>
        <w:t>IT: SO_GERICHTE VSBES.2022.226 del 13 maggio 2024</w:t>
      </w:r>
    </w:p>
    <w:p>
      <w:pPr>
        <w:pStyle w:val="Heading2"/>
      </w:pPr>
      <w:r>
        <w:t>Regeste</w:t>
      </w:r>
    </w:p>
    <w:p>
      <w:r>
        <w:t>Unfallversicherung</w:t>
      </w:r>
    </w:p>
    <w:p>
      <w:pPr>
        <w:pStyle w:val="Heading2"/>
      </w:pPr>
      <w:r>
        <w:t>Erwägungen</w:t>
      </w:r>
    </w:p>
    <w:p>
      <w:r>
        <w:rPr>
          <w:b/>
        </w:rPr>
        <w:t>E. 1</w:t>
      </w:r>
    </w:p>
    <w:p>
      <w:r>
        <w:t>1.1     Die Versicherte A.___ (fortan: Beschwerdeführerin), geb. 1964, erlitt drei Unfälle, welche alle das rechte Knie betrafen (s. Zusammenfassung Aktenseite / A.S. 2 f.):</w:t>
      </w:r>
    </w:p>
    <w:p>
      <w:r>
        <w:t>1.2     Die Krankentaggeldversicherung D.___ hatte seit dem 21. Mai 2019 Taggeldleistungen erbracht, diese jedoch ab 1. September 2020 eingestellt, da die Beschwerdeführerin in einer angepassten Tätigkeit voll arbeitsfähig sei (Akten der Beschwerdegegnerin Ordner I Nr. 1/19). Die Beschwerdegegnerin schloss sich dieser Auffassung an und verfügte am 13. August 2021, dass nach dem 31. August 2020 kein Taggeldanspruch bestehe. Zur Heilbehandlung hielt die Beschwerdegegnerin demgegenüber fest, die Physiotherapie werde weiterhin übernommen (Ordner I Nr. 3/2). Daraufhin liess die Beschwerdeführerin am 9. September 2021 Einsprache erheben und folgendes Rechtsbegehren stellen (Ordner I Nr. 3/4):</w:t>
      </w:r>
    </w:p>
    <w:p>
      <w:r>
        <w:t>Es sei die Verfügung vom 13. August 2021 vollumfänglich aufzuheben und es seien der [Beschwerdeführerin] die ihr von Gesetzes wegen zustehenden UVG-Leistungen (Rente, Integritätsentschädigung, Heilkosten) zuzusprechen.</w:t>
      </w:r>
    </w:p>
    <w:p>
      <w:r>
        <w:t>Die Beschwerdeführerin bekräftigte dieses Rechtsbegehren in der Ergänzung zur Einsprache vom 17. März 2022, wo sie zudem verlangte, es seien ihr weiterhin Taggelder auszurichten (Ordner I Nr. 3/8).</w:t>
      </w:r>
    </w:p>
    <w:p>
      <w:r>
        <w:t>1.3     Am 14. Juli 2022 erliess die Beschwerdegegnerin einen «Leistungsentscheid», den sie im Dispositiv als Verfügung deklarierte (Ordner I Nr. 3/13). Darin wurde die Heilbehandlung per 30. Juni 2021 eingestellt, da der Endzustand Mitte 2021 erreicht worden sei. Weiter verneinte die Beschwerdegegnerin einen Rentenanspruch, sprach der Beschwerdeführerin aber eine Integritätsentschädigung von CHF 20'880.00 zu. Gegen diese Verfügung wurde in der Folge keine Einsprache erhoben.</w:t>
      </w:r>
    </w:p>
    <w:p>
      <w:r>
        <w:t>1.4     Die Beschwerdegegnerin wies die Einsprache vom 9. September 2021 mit Entscheid vom 29. September 2022 ab und bestätigte die Verfügung vom 13. August 2021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mindestens aber zu 25 % (Art. 25 Abs. 3 Verordnung über die Unfallversicherung / UVV, SR 832.202).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2.2     Die Beschwerdegegnerin verfügte zunächst am 13. August 2021, dass ab 1. September 2020 kein Anspruch auf Taggeldleistungen der Unfallversicherung bestehe. Damit war der Fall aber noch nicht abgeschlossen worden, übernahm die Beschwerdegegnerin doch weiterhin die Heilbehandlung (E. I. 1.2 hiervor). Diese vorübergehende Leistung wurde erst mit der Verfügung vom 14. Juli 2022 per Ende Juni 2021 eingestellt und zugleich der Anspruch auf eine Rente ab 2021 sowie auf eine Integritätsentschädigung geprüft (Ordner I Nr. 3/13). In diesem Zusammenhang ist zu beachten, dass die Einstellung vorübergehender Leistungen und der Fallabschluss mit Prüfung der Rentenfrage einen einheitlichen Streitgegenstand bilden, hängt doch die Entstehung des Rentenanspruchs u.a. auch vom Zeitpunkt des Eintritts des medizinisch-therapeutischen Endzustandes ab. Die Frage, ob der Fallabschluss korrekt erfolgt ist, kann mit anderen Worten nicht gesondert vom Rentenanspruch in Rechtskraft erwachsen (BGE 144 V 354 E. 4.2 S. 358). Die Beschwerdegegnerin nahm hier wie erwähnt den Fallabschluss per 30. Juni 2021 vor, da sie davon ausging, der medizinische Endzustand sei in diesem Zeitpunkt erreicht worden (Ordner I Nr. 3/13 S. 1). Die fragliche Verfügung vom 14. Juli 2022 ging zwar auf den Taggeldanspruch nicht ausdrücklich ein. Indem die Beschwerdegegnerin aber mit dieser Verfügung den Fall abschloss und über die Rente befand (was nicht Gegenstand der vorhergehenden Verfügung vom 13. August 2021 gebildet hatte), verneinte sie zugleich einen Taggeldanspruch ab dem 1. Juli 2021 (vgl. BGE 144 V 354 E. 4.2 S. 358 und E. 5.1 S. 359). Gegen die Verfügung vom 14. Juli 2022 erfolgte sodann keine Einsprache (s. A.S. 16), womit sie in Rechtskraft erwuchs. Beim kantonalen Sozialversicherungsgericht kann gegen Einspracheentscheide (sowie gegen verfahrensleitende Verfügungen, was hier aber nicht zutrifft) Beschwerde erhoben werden (Art. 56 Abs. 1 Bundesgesetz über den Allgemeinen Teil des Sozialversicherungsrechts / ATSG, SR 830.1). Im vorliegenden Fall fehlt es folglich in Bezug auf Heilbehandlung, Rente und Integritätsentschädigung mangels Einsprache an einem anfechtbaren Einspracheentscheid, weshalb auf die Beschwerde insoweit nicht einzutreten ist. Hinsichtlich der Taggelder ist zu differenzieren: Für die Zeit ab 1. Juli 2021 liegt mit der rechtskräftigen Verfügung vom 14. Juli 2022 eine abschliessende und verbindliche Verneinung des Anspruchs vor. Gegen die frühere Verfügung vom 13. August 2021 hingegen erhob die Beschwerdeführerin rechtzeitig Einsprache, welche in der Folge am 29. September 2022 abgewiesen wurde. Im Rahmen des Beschwerdeverfahrens ist daher noch zu prüfen, ob für die Zeit vom 1. September 2020 bis zum 30. Juni 2021 Anspruch auf Taggelder bestand.</w:t>
      </w:r>
    </w:p>
    <w:p>
      <w:r>
        <w:rPr>
          <w:b/>
        </w:rPr>
        <w:t>E. 3</w:t>
      </w:r>
    </w:p>
    <w:p>
      <w:r>
        <w:t>3.1     Die Beschwerdegegnerin holte nach dem Unfall vom 6. Februar 2019 kein unabhängiges externes Gutachten ein. Sie stützte sich vielmehr allein auf die Aktenbeurteilungen von zwei beratenden Ärzten, als sie von einer Wiederherstellung der Arbeitsfähigkeit ausging:</w:t>
      </w:r>
    </w:p>
    <w:p>
      <w:r>
        <w:t>3.1.1  Dr. med. E.___ (Facharzt für Physikalische Medizin &amp; Rehabilitation, Arbeitsmedizin und Innere Medizin) gab als beratender Arzt der Krankentaggeldversicherung D.___ drei Stellungnahmen ab:</w:t>
      </w:r>
    </w:p>
    <w:p>
      <w:r>
        <w:t>3.1.2  Dr. med. G.___ (Facharzt für Innere Medizin) äusserte sich als beratender Arzt der Beschwerdegegnerin wie folgt:</w:t>
      </w:r>
    </w:p>
    <w:p>
      <w:r>
        <w:t>3.2     In den Akten der Beschwerdegegnerin finden sich die folgenden Unterlagen der behandelnden Ärzte:</w:t>
      </w:r>
    </w:p>
    <w:p>
      <w:r>
        <w:t>3.2.1  Dr. med. H.___, Facharzt FMH für Orthopädische Chirurgie und Traumatologie des Bewegungsapparates an der F.___, implantierte der Beschwerdeführerin die Totalprothese am rechten Knie. In seinem Bericht vom 22. Juli 2020 zur Konsultation vom 14. Juli 2020, auf den sich Dr. med. E.___ bezog (Stellungnahme vom 29. Juli 2020, E. II. 3.1.1 hiervor), stellte er folgende Diagnose (Ordner II M19):</w:t>
      </w:r>
    </w:p>
    <w:p>
      <w:r>
        <w:t>Aktuell am ehesten belastungsbedingte Beschwerden Knie rechts bei</w:t>
      </w:r>
    </w:p>
    <w:p>
      <w:r>
        <w:t>3.2.2  Für die Zeit von der Operation bis zum Fallabschluss attestierte die F.___ wie folgt eine Arbeitsunfähigkeit:</w:t>
      </w:r>
    </w:p>
    <w:p>
      <w:r>
        <w:t>3.2.3  Gemäss Dr. med. H.___ war der Verlauf nach der Implantation der Prothese am 7. November 2019 zunächst sehr gut mit einem Rückgang der Beschwerden (Ordner I Nr. 2/17). Allerdings kam es dann bei intensiverer Belastung zu vermehrten Schmerzen, obwohl sich keine Hinweise auf eine Lockerung der Prothese ergaben. Verschiedene Behandlungsansätze führten zu keiner vollständigen und nachhaltigen Remission dieser Beschwerden (s. Ordner I Nr. 2/18 f. und 2/21 f.; Ordner II M14). Im hier zu beurteilenden Zeitraum ab 1. September 2020 ergingen durch Dr. med. H.___ (sofern nicht anders vermerkt) die folgenden Berichte:</w:t>
      </w:r>
    </w:p>
    <w:p>
      <w:r>
        <w:rPr>
          <w:b/>
        </w:rPr>
        <w:t>E. 3.3</w:t>
      </w:r>
    </w:p>
    <w:p>
      <w:r>
        <w:t>3.3.1  Beratende Ärzte eines Versicherungsträgers sind, was den Beweiswert ihrer ärztlichen Beurteilung angeht, versicherungsinternen Ärzten gleichzusetzen. Deren Berichten und Gutachten kommt nach der Rechtsprechung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(Urteil des Bundesgerichts 8C_446/2021 vom 25. Januar 2022 E. 2.3). Eine reine Aktenbeurteilung wiederum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8C_608/2020 vom 15. Dezember 2020 E. 5.2 und 9C_651/2019 vom 18. Februar 2020 E. 4.3).</w:t>
      </w:r>
    </w:p>
    <w:p>
      <w:r>
        <w:t>3.3.2  Die Stellungnahmen von Dr. med. E.___ vom 9. Januar und 18. Juni 2020 enthalten lediglich die Aussage, dass in einer angepassten Arbeit wieder eine volle Arbeitsfähigkeit bestehe (E. II. 3.1.1 hiervor). Der Stellungnahme vom 29. Juli 2020 lässt sich immerhin entnehmen, dass ein gutes Operationsresultat mit nur noch geringen Beschwerden vorliege. Dr. med. G.___ wiederum geht in seiner Stellungnahme vom 19. Mai 2021 lediglich auf den  von der Beschwerdegegnerin unbestrittenen  natürlichen Kausalzusammenhang ein, während er sich in der Stellungnahme vom 28. Juli 2021 der Auffassung von Dr. med. E.___ anschliesst, in einer adaptierten Tätigkeit bestehe eine uneingeschränkte Arbeitsfähigkeit, ergänzt um die Bemerkung, die Prothese habe eine namhafte Besserung bewirkt (E. II. 3.1.2 hiervor). Die Feststellungen der beiden beratenden Ärzte zur Arbeitsfähigkeit sind demnach ziemlich knapp ausgefallen. Was die Vorakten angeht, so wird lediglich auf einen einzelnen Bericht von Dr. med. H.___ vom 22. Juli 2020 verwiesen (s. E. II. 3.2.1 hiervor). Inwieweit die Dres. E.___ und G.___ andere Arztberichte zur Kenntnis genommen und gewürdigt haben, geht aus ihren Stellungnahmen nicht hervor. Eine vertiefte und umfassende Auseinandersetzung mit den Akten wäre indes unabdingbar gewesen, da keiner der beiden beratenden Ärzte die Beschwerdeführerin persönlich untersucht hatte. Laut dem behandelnden Arzt Dr. med. H.___ bestanden zwar keine klinischen und radiologischen Hinweise für eine mechanische Prothesenproblematik. Er äusserte jedoch am 20. April 2021, also nach der Stellungnahme von Dr. med. E.___ vom 29. Juli 2020, den Verdacht auf eine Nervenläsion als organische Ursache für die persistierenden Schmerzen, was nach Aktenlage bislang noch nicht geklärt werden konnte (E. II. 3.2.3 hiervor; s.a. Ordner I Nr. 2/44). Ob diese Verdachtsdiagnose Dr. med. G.___ bekannt war, als er seine Stellungnahme vom 28. Juli 2021 abgab, resp. aus welchen Gründen er ihr keine Bedeutung beimass, ist unklar. Auf jeden Fall liegt so kein gesicherter medizinischer Sachverhalt vor, der ohne weitere Abklärungen eine reine Aktenbeurteilung erlaubt hätte. Von den orthopädischen Diagnosen wiederum wird lediglich die Gonarthrose erwähnt und auch das nur bei Dr. med. G.___; eine Diskussion der funktionellen Auswirkungen unter Einbezug der Extensionsblockade und der Meniskusläsion unterblieb. Weiter ist nicht ersichtlich, ob sich die beratenden Ärzte mit den geklagten belastungsabhängigen Beschwerden und der abweichenden Auffassung von Dr. med. H.___, auch in einer angepassten Tätigkeit bestehe eine Arbeitsunfähigkeit, näher befasst haben. Auf diese Weise lässt sich nicht überprüfen, ob die Beurteilung der Dres. E.___ und G.___ schlüssig und nachvollziehbar ist. Andererseits fällt auf, dass Dr. med. E.___ eine zwar mehrheitlich sitzende, aber grundsätzlich doch wechselbelastende Tätigkeit als angepasst betrachtet, während laut Dr. med. G.___ eine Arbeit im Stehen unzumutbar ist. Auf die Frage, in welchem Umfang es der Beschwerdeführerin noch möglich ist, zu sitzen sowie aufzustehen und umherzugehen resp. am Ort zu stehen, wird nicht näher eingegangen, obwohl der Bericht der Physiotherapie I.___ auf Probleme bei längeren Steh- und Gehphasen hindeutet.</w:t>
      </w:r>
    </w:p>
    <w:p>
      <w:r>
        <w:t>Vor diesem Hintergrund bestehen immerhin geringe Zweifel an der Beurteilung der beratenden Ärzte. Diese hätte der Beschwerdegegnerin deshalb nicht als Grundlage dafür dienen dürfen, eine volle Arbeitsfähigkeit von September 2020 bis Juni 2021 zu bejahen und einen Taggeldanspruch für diese Zeit zu verneinen.</w:t>
      </w:r>
    </w:p>
    <w:p>
      <w:r>
        <w:t>3.3.3  Die Ausrichtung von Taggeldern setzt eine Arbeitsunfähigkeit voraus, d.h. die durch eine körperliche oder geistige Gesundheitsschädigung bedingte, volle oder teilweise Unfähigkeit, im bisherigen Beruf zumutbare Arbeit zu leisten (Art. 6 Satz 1 ATSG). Bei langer Dauer wird auch die zumutbare Tätigkeit in einem anderen Beruf berücksichtigt (Art. 6 Satz 2 ATSG). Damit wird die Vermutung aufgestellt, dass es der versicherten Person bei einer länger andauernden Arbeitsunfähigkeit zumutbar ist, gegebenenfalls eine Änderung der Tätigkeit vorzunehmen und in einer sog. Verweistätigkeit eine verwertbare Arbeitsfähigkeit in höherem Ausmasse zu erlangen. Nach den Gesetzesmaterialien ist in der Regel bei einer Dauer von über sechs Monaten von einer «langen Dauer» auszugehen, wobei es sich jedoch lediglich um eine Richtgrösse handelt (Marc Hürzeler in: Ghislaine Frésard-Fellay / Susanne Leuzinger / Kurt Pärli [Hrsg.], Basler Kommentar zum UVG, Basel 2019, Art. 16 N 10 f.). Entscheidend ist die Zumutbarkeit unter Berücksichtigung der gesamten objektiven und subjektiven Gegebenheiten des Einzelfalles (a.a.O., N 16 + 18).</w:t>
      </w:r>
    </w:p>
    <w:p>
      <w:r>
        <w:t>Die vorliegenden Unterlagen der behandelnden Ärzte weisen gewisse Lücken auf. So ist nicht immer klar, auf was sich die attestierte Arbeitsunfähigkeit bezieht, wird doch nur teilweise zwischen der bisherigen und einer Verweistätigkeit differenziert (s. E. II. 3.2.2 hiervor). Zudem fehlen nähere Ausführungen zur Art der angepassten Arbeit. Die Beschwerdegegnerin hat daher bei Dr. med. H.___ einen ergänzenden Bericht einzuholen. Dieser hat darüber Auskunft zu geben, wann zwischen dem 1. September 2020 und 30. Juni 2021 auch in einer angepassten Arbeit eine Einschränkung der Arbeitsfähigkeit bestand, und er hat zu begründen, auf welchen medizinischen Gründen dies beruhte, und das damalige Zumutbarkeitsprofil für einen adaptierten Arbeitsplatz zu umschreiben. Weiter hat Dr. med. H.___ mitzuteilen, ob sich die postulierte Nervenläsion mittlerweile belegen liess. Falls die Beschwerdegegnerin sodann keine weiteren Abklärungen als notwendig betrachtet, hat sie zu prüfen, ab welchem Zeitpunkt von der Beschwerdeführerin erwartet werden konnte, sich nach einer alternativen Beschäftigung umzusehen, und hat über den Taggeldanspruch von September 2020 bis Juni 2021 zu entscheiden.</w:t>
      </w:r>
    </w:p>
    <w:p>
      <w:r>
        <w:t>3.4     Zusammenfassend ist die Beschwerde in dem Sinne gutzuheissen, als die angefochtene Verfügung aufgehoben und die Angelegenheit zurück an die Beschwerdegegnerin gewiesen wird, damit diese in der beschriebenen Weise vorgeht. Im Übrigen wird auf die Beschwerde nicht eingetreten.</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Dem Begehren der Beschwerdegegnerin, es sei von einer Parteientschädigung abzusehen (A.S. 102 f.), kann nicht entsprochen werden, denn der Grund für die Rückweisung liegt darin, dass die Beschwerdegegnerin auf eine nicht beweiskräftige ärztliche Beurteilung abstellte, als sie über den Taggeldanspruch entschied.</w:t>
      </w:r>
    </w:p>
    <w:p>
      <w:r>
        <w:t>Die Entschädigung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die Vertreterin darauf beschränkt hätte, nur die Taggelder bis 30. Juni 2021 zu beantragen, wäre ihr Aufwand tiefer ausgefallen.</w:t>
      </w:r>
    </w:p>
    <w:p>
      <w:r>
        <w:t>4.2     Die von der Vertreterin eingereichte Kostennote vom 29. August 2023 (A.S. 91 f.) weist bis 31. Dezember 2022 einen Zeitaufwand von 10,46 Stunden und ab 1. Januar 2023 von 11,86 Stunden aus. Darin ist jedoch auch reiner Kanzleiaufwand enthalten, der im Stundenansatz eines Anwaltes bereits inbegriffen und nicht separat zu vergüten ist. Dies betrifft hier die Klientenbriefe («Brief an Klient» resp. «Mail an Klientin»), bei denen mangels eindeutiger Bezeichnung und angesichts des geringen Aufwands praxisgemäss von Orientierungskopien u.ä. auszugehen ist (2022: 4 x 0,17 = 0,68 Stunden, 2023: 5 x 0,17 = 0,85 Stunden). Der Aufwand für die Schreiben an die Beschwerdegegnerin und die D.___ vom 12. Oktober 2022 sowie das Schreiben der Beschwerdegegnerin vom 26. Oktober 2022 wiederum sind zu streichen, weil sie nicht in den Akten enthalten und damit nicht überprüfbar sind (2 x 0,17 + 0,25 Stunden). Somit verbleibt bis Ende 2022 ein zu entschädigender Aufwand von 9,19 Stunden und ab 1. Januar 2023 von 11,01 Stunden. Die Vertreterin beantragt durchgehend einen Stundenansatz von CHF 270.00. Dieser kann ab 1. Januar 2023 gewährt werden. Bis Ende 2022 werden demgegenüber praxisgemäss maximal CHF 260.00 angerechnet, da keine ausserordentliche Schwierigkeit des Falls vorliegt. Auf diese Weise ergibt sich insgesamt eine Entschädigung von CHF 6'327.25, einschliesslich CHF 512.80 Auslagen und CHF 452.35 Mehrwertsteuer (7,7 %). Dieser Betrag ist dem teilweisen Obsiegen entsprechend um drei Fünftel auf CHF 2'530.90 zu reduzieren.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Unter Kosten- und Entschädigungsfolgen zu Lasten der Beschwerdegegnerin. Das Gesuch um unentgeltliche Rechtspflege wird am 30. November 2022 zurückgezogen (A.S. 32). 2.2     Die Beschwerdegegnerin lässt in ihrer Beschwerdeantwort vom 5. Januar 2023 die Abweisung der Beschwerde und die Bestätigung des angefochtenen Einspracheentscheids beantragen (A.S. 34 ff.). 2.3     Die Parteien halten mit Replik vom 27. Februar 2023, Duplik vom 27. April 2023, Triplik vom 29. August 2023 sowie Quadruplik vom 28. September 2023 an ihren Rechtsbegehren fest (A.S. 52 ff. / 71 ff. / 82 ff. / 98 ff.). Die Vertreterin der Beschwerdeführerin reicht ausserdem am 29. August 2023 eine Kostennote ein (A.S. 91 f.). II. 1.       Inwieweit die Sachurteilsvoraussetzungen erfüllt sind und auf die Beschwerde eingetreten werden kann, bedarf näherer Prüfung.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mindestens aber zu 25 % (Art. 25 Abs. 3 Verordnung über die Unfallversicherung / UVV, SR 832.202).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Die Beschwerdegegnerin verfügte zunächst am 13. August 2021, dass ab 1. September 2020 kein Anspruch auf Taggeldleistungen der Unfallversicherung bestehe. Damit war der Fall aber noch nicht abgeschlossen worden, übernahm die Beschwerdegegnerin doch weiterhin die Heilbehandlung (E. I. 1.2 hiervor). Diese vorübergehende Leistung wurde erst mit der Verfügung vom 14. Juli 2022 per Ende Juni 2021 eingestellt und zugleich der Anspruch auf eine Rente ab 2021 sowie auf eine Integritätsentschädigung geprüft (Ordner I Nr. 3/13). In diesem Zusammenhang ist zu beachten, dass die Einstellung vorübergehender Leistungen und der Fallabschluss mit Prüfung der Rentenfrage einen einheitlichen Streitgegenstand bilden, hängt doch die Entstehung des Rentenanspruchs u.a. auch vom Zeitpunkt des Eintritts des medizinisch-therapeutischen Endzustandes ab. Die Frage, ob der Fallabschluss korrekt erfolgt ist, kann mit anderen Worten nicht gesondert vom Rentenanspruch in Rechtskraft erwachsen (BGE 144 V 354 E. 4.2 S. 358). Die Beschwerdegegnerin nahm hier wie erwähnt den Fallabschluss per 30. Juni 2021 vor, da sie davon ausging, der medizinische Endzustand sei in diesem Zeitpunkt erreicht worden (Ordner I Nr. 3/13 S. 1). Die fragliche Verfügung vom 14. Juli 2022 ging zwar auf den Taggeldanspruch nicht ausdrücklich ein. Indem die Beschwerdegegnerin aber mit dieser Verfügung den Fall abschloss und über die Rente befand (was nicht Gegenstand der vorhergehenden Verfügung vom 13. August 2021 gebildet hatte), verneinte sie zugleich einen Taggeldanspruch ab dem 1. Juli 2021 (vgl. BGE 144 V 354 E. 4.2 S. 358 und E. 5.1 S. 359). Gegen die Verfügung vom 14. Juli 2022 erfolgte sodann keine Einsprache (s. A.S. 16), womit sie in Rechtskraft erwuchs. Beim kantonalen Sozialversicherungsgericht kann gegen Einspracheentscheide (sowie gegen verfahrensleitende Verfügungen, was hier aber nicht zutrifft) Beschwerde erhoben werden (Art. 56 Abs. 1 Bundesgesetz über den Allgemeinen Teil des Sozialversicherungsrechts / ATSG, SR 830.1). Im vorliegenden Fall fehlt es folglich in Bezug auf Heilbehandlung, Rente und Integritätsentschädigung mangels Einsprache an einem anfechtbaren Einspracheentscheid, weshalb auf die Beschwerde insoweit nicht einzutreten ist. Hinsichtlich der Taggelder ist zu differenzieren: Für die Zeit ab 1. Juli 2021 liegt mit der rechtskräftigen Verfügung vom 14. Juli 2022 eine abschliessende und verbindliche Verneinung des Anspruchs vor. Gegen die frühere Verfügung vom 13. August 2021 hingegen erhob die Beschwerdeführerin rechtzeitig Einsprache, welche in der Folge am 29. September 2022 abgewiesen wurde. Im Rahmen des Beschwerdeverfahrens ist daher noch zu prüfen, ob für die Zeit vom 1. September 2020 bis zum 30. Juni 2021 Anspruch auf Taggelder bestand. 3. 3.1     Die Beschwerdegegnerin holte nach dem Unfall vom 6. Februar 2019 kein unabhängiges externes Gutachten ein. Sie stützte sich vielmehr allein auf die Aktenbeurteilungen von zwei beratenden Ärzten, als sie von einer Wiederherstellung der Arbeitsfähigkeit ausging: 3.1.1  Dr. med. E.___ (Facharzt für Physikalische Medizin &amp; Rehabilitation, Arbeitsmedizin und Innere Medizin) gab als beratender Arzt der Krankentaggeldversicherung D.___ drei Stellungnahmen ab: ·</w:t>
      </w:r>
    </w:p>
    <w:p>
      <w:r>
        <w:rPr>
          <w:b/>
        </w:rPr>
        <w:t>E. 9</w:t>
      </w:r>
    </w:p>
    <w:p>
      <w:r>
        <w:t>Januar 2020 (Ordner II M16): Die Beschwerdeführerin sei seit dem 21. Mai 2019 in der bisherigen Tätigkeit (d.h. als Gärtnerin) nicht mehr arbeitsfähig. In einer den Beschwerden angepassten (leichten bis gelegentlich mittelschweren, teilweise sitzenden) Tätigkeit bestehe seit dem 1. Februar 2020 wieder eine Arbeitsfähigkeit von 50 % und seit dem 1. März 2020 von 100 %. · 18. Juni 2020 (Ordner II M18): Ab dem 1. März 2020 bestehe eine volle Arbeitsfähigkeit. Die attestierte Arbeitsunfähigkeit sei in einer leidensangepassten Tätigkeit nicht nachvollziehbar. · 29. Juli 2020 (Ordner II M20): An der Beurteilung vom 18. Juni 2020 werde festgehalten. Es handle sich um einen protrahierteren Verlauf nach Implantation einer Knie-Totalprothese mit noch wenig Restbeschwerden und einem objektiv funktionell guten Resultat, wie dem aktuellen Bericht der F.___ vom 14. [recte: 22.] Juli 2020 zu entnehmen sei. In einer optimal leidensadaptierten Tätigkeit (leicht bis gelegentlich mittelschwer, wechselbelastend und vorwiegend sitzend) bestehe eine volle Arbeitsfähigkeit. 3.1.2  Dr. med. G.___ (Facharzt für Innere Medizin) äusserte sich als beratender Arzt der Beschwerdegegnerin wie folgt: · 19. Mai 2021 (Ordner I Nr. 2/33): Die komplexe Knieverletzung von 1984 habe zu einer Gonarthrose geführt, die durch das Ereignis von 2019 nur vorübergehend verschlimmert worden sei. · 28. Juli 2021 (Ordner I Nr. 2/36): Die Beurteilung von Dr. med. E.___ sei nachvollziehbar. Mit der Totalprothese sei eine stehende Arbeit nicht mehr zumutbar. Die Prothese habe aber eine namhafte Verbesserung erzielt. In einer angepassten Tätigkeit bestehe keine Einschränkung. 3.2     In den Akten der Beschwerdegegnerin finden sich die folgenden Unterlagen der behandelnden Ärzte: 3.2.1  Dr. med. H.___, Facharzt FMH für Orthopädische Chirurgie und Traumatologie des Bewegungsapparates an der F.___, implantierte der Beschwerdeführerin die Totalprothese am rechten Knie. In seinem Bericht vom 22. Juli 2020 zur Konsultation vom 14. Juli 2020, auf den sich Dr. med. E.___ bezog (Stellungnahme vom 29. Juli 2020, E. II. 3.1.1 hiervor), stellte er folgende Diagnose (Ordner II M19): Aktuell am ehesten belastungsbedingte Beschwerden Knie rechts bei · Status nach Implantation einer Knie-Totalprothese rechts am 7. November 2019 · symptomatischer, posttraumatischer patellofemoraler und medialer Gonarthrose rechts bei Status nach Kniearthroskopie mit medialer Teilmeniskektomie am Vorder- und Hinterhorn sowie Knorpelglättung am medialen Femurkondylus und femoropatellar rechts am 6. Juni 2019 mit / bei o mechanischer Extensionsblockade am rechten Knie o medialer Meniskusläsion im Vorder- und Hinterhorn o Status nach komplexer Knieverletzung in den 1980er Jahren 3.2.2  Für die Zeit von der Operation bis zum Fallabschluss attestierte die F.___ wie folgt eine Arbeitsunfähigkeit: · 100 % vom 7. November 2019 bis 31. August 2020 (Ordner II Nr. 6/38 ff.) · 80 % vom 1. September bis 3. November 2020 (Ordner II Nr. 7/1 S. 58 f.) · 100 % in der bisherigen und 80 % in einer angepassten Tätigkeit vom 3. November bis 31. Dezember 2020 (Ordner I Nr. 2/23 S. 2) · 80 % vom 1. Januar bis 10. Februar 2021 (Ordner II Nr. 7/1 S. 31 f.) · 100 % vom 11. Februar bis 8. März 2021 (Ordner I Nr. 2/28 S. 2; Ordner II Nr. 7/1 S. 25) · 80 % vom 9. März bis 30. Juni 2021 (Ordner II Nr. 7/1 S. 15, 20 und 24) 3.2.3  Gemäss Dr. med. H.___ war der Verlauf nach der Implantation der Prothese am 7. November 2019 zunächst sehr gut mit einem Rückgang der Beschwerden (Ordner I Nr. 2/17). Allerdings kam es dann bei intensiverer Belastung zu vermehrten Schmerzen, obwohl sich keine Hinweise auf eine Lockerung der Prothese ergaben. Verschiedene Behandlungsansätze führten zu keiner vollständigen und nachhaltigen Remission dieser Beschwerden (s. Ordner I Nr. 2/18 f. und 2/21 f.; Ordner II M14). Im hier zu beurteilenden Zeitraum ab 1. September 2020 ergingen durch Dr. med. H.___ (sofern nicht anders vermerkt) die folgenden Berichte: · 23. September 2020 (Ordner I Nr. 2/24): Das Kniegelenk sei klinisch und radiologisch unauffällig, aber schmerzhaft. Es bestehe eine Druckdolenz punktuell über dem medialen Gelenkspalt und diffus über dem gesamten Gelenk. · 4. November 2020 (Ordner I Nr. 2/23): Gegenüber dem Vorbericht ergäben sich keine wesentlichen Änderungen. ·</w:t>
      </w:r>
    </w:p>
    <w:p>
      <w:r>
        <w:rPr>
          <w:b/>
        </w:rPr>
        <w:t>E. 12</w:t>
      </w:r>
    </w:p>
    <w:p>
      <w:r>
        <w:t>November 2020, Physiotherapie I.___ (Ordner III Nr. 126): Die Beschwerdeführerin werde seit Juni 2020 behandelt. Bei längerer Belastung, z.B. längerem Gehen oder Stehen, würden ihre Schmerzen so stark, dass sie eine längere Pause einlegen müsse oder die Tätigkeit gar nicht mehr fortsetzten könne. · 30. Dezember 2020 (Ordner I Nr. 2/25): Insgesamt hätten sich die Beschwerden von einem diffusen Schmerz über dem gesamten Gelenk auf einzelne Punkte lokalisiert, hauptsächlich innenseitig auf Höhe des Gelenkspalts. ·</w:t>
      </w:r>
    </w:p>
    <w:p>
      <w:r>
        <w:rPr>
          <w:b/>
        </w:rPr>
        <w:t>E. 13</w:t>
      </w:r>
    </w:p>
    <w:p>
      <w:r>
        <w:t>Januar 2021 (Ordner I Nr. 2/26), 11. Februar 2021 (Nr. 2/28) und 24. März 2021 (Nr. 2/29): Am 11. Februar 2021 erfolgte eine Kniearthroskopie mit Biopsieentnahme und Debridement rechts sowie Schraubenentfernung an der proximalen Tibia rechts. Eine Ursache für die Beschwer- Den über dem Gelenkspalt habe sich nicht ergeben. Die Patellarückfläche zeige gesamthaft eine starke Aufrauung im Sinne eines Knorpelschadens Grad ll – lll. Der Verdacht auf einen lokalen Infekt am rechten Kniegelenk lasse sich nicht bestätigen. Die medialen Kniebeschwerden persistierten weiterhin. · 20. April 2021 (Ordner I Nr. 2/30): Es bestehe bei insgesamt unveränderten Beschwerden ein hochgradiger Verdacht auf eine Ramus infrapatellaris-Problematik, zumal die Schmerzen auch durch eine Kontusion in diesem Bereich ausgelöst worden seien. · 7. Mai 2021, Dr. med. J.___, Facharzt FMH für Handchirurgie sowie für Orthopädische Chirurgie und Traumatologie des Bewegungsapparates (Ordner I Nr. 2/32): Die Infiltration des Nervus saphenus rechts am 6. Mai 2021sei schmerzbedingt abgebrochen worden. Auf den vorge- sehenen zweiten Versuch habe die Beschwerdeführerin am 12. Juli 2021 verzichtet (Ordner I Nr. 2/34). 3.3 3.3.1  Beratende Ärzte eines Versicherungsträgers sind, was den Beweiswert ihrer ärztlichen Beurteilung angeht, versicherungsinternen Ärzten gleichzusetzen. Deren Berichten und Gutachten kommt nach der Rechtsprechung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(Urteil des Bundesgerichts 8C_446/2021 vom 25. Januar 2022 E. 2.3). Eine reine Aktenbeurteilung wiederum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8C_608/2020 vom 15. Dezember 2020 E. 5.2 und 9C_651/2019 vom 18. Februar 2020 E. 4.3). 3.3.2  Die Stellungnahmen von Dr. med. E.___ vom 9. Januar und 18. Juni 2020 enthalten lediglich die Aussage, dass in einer angepassten Arbeit wieder eine volle Arbeitsfähigkeit bestehe (E. II. 3.1.1 hiervor). Der Stellungnahme vom 29. Juli 2020 lässt sich immerhin entnehmen, dass ein gutes Operationsresultat mit nur noch geringen Beschwerden vorliege. Dr. med. G.___ wiederum geht in seiner Stellungnahme vom 19. Mai 2021 lediglich auf den – von der Beschwerdegegnerin unbestrittenen – natürlichen Kausalzusammenhang ein, während er sich in der Stellungnahme vom 28. Juli 2021 der Auffassung von Dr. med. E.___ anschliesst, in einer adaptierten Tätigkeit bestehe eine uneingeschränkte Arbeitsfähigkeit, ergänzt um die Bemerkung, die Prothese habe eine namhafte Besserung bewirkt (E. II. 3.1.2 hiervor). Die Feststellungen der beiden beratenden Ärzte zur Arbeitsfähigkeit sind demnach ziemlich knapp ausgefallen. Was die Vorakten angeht, so wird lediglich auf einen einzelnen Bericht von Dr. med. H.___ vom 22. Juli 2020 verwiesen (s. E. II. 3.2.1 hiervor). Inwieweit die Dres. E.___ und G.___ andere Arztberichte zur Kenntnis genommen und gewürdigt haben, geht aus ihren Stellungnahmen nicht hervor. Eine vertiefte und umfassende Auseinandersetzung mit den Akten wäre indes unabdingbar gewesen, da keiner der beiden beratenden Ärzte die Beschwerdeführerin persönlich untersucht hatte. Laut dem behandelnden Arzt Dr. med. H.___ bestanden zwar keine klinischen und radiologischen Hinweise für eine mechanische Prothesenproblematik. Er äusserte jedoch am 20. April 2021, also nach der Stellungnahme von Dr. med. E.___ vom 29. Juli 2020, den Verdacht auf eine Nervenläsion als organische Ursache für die persistierenden Schmerzen, was nach Aktenlage bislang noch nicht geklärt werden konnte (E. II. 3.2.3 hiervor; s.a. Ordner I Nr. 2/44). Ob diese Verdachtsdiagnose Dr. med. G.___ bekannt war, als er seine Stellungnahme vom 28. Juli 2021 abgab, resp. aus welchen Gründen er ihr keine Bedeutung beimass, ist unklar. Auf jeden Fall liegt so kein gesicherter medizinischer Sachverhalt vor, der ohne weitere Abklärungen eine reine Aktenbeurteilung erlaubt hätte. Von den orthopädischen Diagnosen wiederum wird lediglich die Gonarthrose erwähnt und auch das nur bei Dr. med. G.___; eine Diskussion der funktionellen Auswirkungen unter Einbezug der Extensionsblockade und der Meniskusläsion unterblieb. Weiter ist nicht ersichtlich, ob sich die beratenden Ärzte mit den geklagten belastungsabhängigen Beschwerden und der abweichenden Auffassung von Dr. med. H.___, auch in einer angepassten Tätigkeit bestehe eine Arbeitsunfähigkeit, näher befasst haben. Auf diese Weise lässt sich nicht überprüfen, ob die Beurteilung der Dres. E.___ und G.___ schlüssig und nachvollziehbar ist. Andererseits fällt auf, dass Dr. med. E.___ eine zwar mehrheitlich sitzende, aber grundsätzlich doch wechselbelastende Tätigkeit als angepasst betrachtet, während laut Dr. med. G.___ eine Arbeit im Stehen unzumutbar ist. Auf die Frage, in welchem Umfang es der Beschwerdeführerin noch möglich ist, zu sitzen sowie aufzustehen und umherzugehen resp. am Ort zu stehen, wird nicht näher eingegangen, obwohl der Bericht der Physiotherapie I.___ auf Probleme bei längeren Steh- und Gehphasen hindeutet. Vor diesem Hintergrund bestehen immerhin geringe Zweifel an der Beurteilung der beratenden Ärzte. Diese hätte der Beschwerdegegnerin deshalb nicht als Grundlage dafür dienen dürfen, eine volle Arbeitsfähigkeit von September 2020 bis Juni 2021 zu bejahen und einen Taggeldanspruch für diese Zeit zu verneinen. 3.3.3  Die Ausrichtung von Taggeldern setzt eine Arbeitsunfähigkeit voraus, d.h. die durch eine körperliche oder geistige Gesundheitsschädigung bedingte, volle oder teilweise Unfähigkeit, im bisherigen Beruf zumutbare Arbeit zu leisten (Art. 6 Satz 1 ATSG). Bei langer Dauer wird auch die zumutbare Tätigkeit in einem anderen Beruf berücksichtigt (Art. 6 Satz 2 ATSG). Damit wird die Vermutung aufgestellt, dass es der versicherten Person bei einer länger andauernden Arbeitsunfähigkeit zumutbar ist, gegebenenfalls eine Änderung der Tätigkeit vorzunehmen und in einer sog. Verweistätigkeit eine verwertbare Arbeitsfähigkeit in höherem Ausmasse zu erlangen. Nach den Gesetzesmaterialien ist in der Regel bei einer Dauer von über sechs Monaten von einer «langen Dauer» auszugehen, wobei es sich jedoch lediglich um eine Richtgrösse handelt (Marc Hürzeler in: Ghislaine Frésard-Fellay / Susanne Leuzinger / Kurt Pärli [Hrsg.], Basler Kommentar zum UVG, Basel 2019, Art. 16 N 10 f.). Entscheidend ist die Zumutbarkeit unter Berücksichtigung der gesamten objektiven und subjektiven Gegebenheiten des Einzelfalles (a.a.O., N 16 + 18). Die vorliegenden Unterlagen der behandelnden Ärzte weisen gewisse Lücken auf. So ist nicht immer klar, auf was sich die attestierte Arbeitsunfähigkeit bezieht, wird doch nur teilweise zwischen der bisherigen und einer Verweistätigkeit differenziert (s. E. II. 3.2.2 hiervor). Zudem fehlen nähere Ausführungen zur Art der angepassten Arbeit. Die Beschwerdegegnerin hat daher bei Dr. med. H.___ einen ergänzenden Bericht einzuholen. Dieser hat darüber Auskunft zu geben, wann zwischen dem 1. September 2020 und 30. Juni 2021 auch in einer angepassten Arbeit eine Einschränkung der Arbeitsfähigkeit bestand, und er hat zu begründen, auf welchen medizinischen Gründen dies beruhte, und das damalige Zumutbarkeitsprofil für einen adaptierten Arbeitsplatz zu umschreiben. Weiter hat Dr. med. H.___ mitzuteilen, ob sich die postulierte Nervenläsion mittlerweile belegen liess. Falls die Beschwerdegegnerin sodann keine weiteren Abklärungen als notwendig betrachtet, hat sie zu prüfen, ab welchem Zeitpunkt von der Beschwerdeführerin erwartet werden konnte, sich nach einer alternativen Beschäftigung umzusehen, und hat über den Taggeldanspruch von September 2020 bis Juni 2021 zu entscheiden. 3.4     Zusammenfassend ist die Beschwerde in dem Sinne gutzuheissen, als die angefochtene Verfügung aufgehoben und die Angelegenheit zurück an die Beschwerdegegnerin gewiesen wird, damit diese in der beschriebenen Weise vorgeht. Im Übrigen wird auf die Beschwerde nicht eingetreten.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Dem Begehren der Beschwerdegegnerin, es sei von einer Parteientschädigung abzusehen (A.S. 102 f.), kann nicht entsprochen werden, denn der Grund für die Rückweisung liegt darin, dass die Beschwerdegegnerin auf eine nicht beweiskräftige ärztliche Beurteilung abstellte, als sie über den Taggeldanspruch entschied. Die Entschädigung bemisst sich ohne Rücksicht auf den Streitwert nach dem zu beurteilenden Sachverhalt sowie der Schwierigkeit des Prozesses und ist in einer Pauschalsumme festzusetzen (Art. 61 lit. g ATSG). Der anwaltliche Stundenansatz bewegt sich bei Verrichtungen bis zum 31. Dezember 2022 in einem Rahmen von CHF 230.00 bis 330.00 (§ 161 i.V.m. § 160 Abs. 2 Kantonaler Gebührentarif / GT, BGS 615.11) sowie ab 1. Januar 2023 von CHF 250.00 bis 350.00 (s. § 160 Abs. 4 GT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die Vertreterin darauf beschränkt hätte, nur die Taggelder bis 30. Juni 2021 zu beantragen, wäre ihr Aufwand tiefer ausgefallen. 4.2     Die von der Vertreterin eingereichte Kostennote vom 29. August 2023 (A.S. 91 f.) weist bis 31. Dezember 2022 einen Zeitaufwand von 10,46 Stunden und ab 1. Januar 2023 von 11,86 Stunden aus. Darin ist jedoch auch reiner Kanzleiaufwand enthalten, der im Stundenansatz eines Anwaltes bereits inbegriffen und nicht separat zu vergüten ist. Dies betrifft hier die Klientenbriefe («Brief an Klient» resp. «Mail an Klientin»), bei denen mangels eindeutiger Bezeichnung und angesichts des geringen Aufwands praxisgemäss von Orientierungskopien u.ä. auszugehen ist (2022: 4 x 0,17 = 0,68 Stunden, 2023: 5 x 0,17 = 0,85 Stunden). Der Aufwand für die Schreiben an die Beschwerdegegnerin und die D.___ vom 12. Oktober 2022 sowie das Schreiben der Beschwerdegegnerin vom 26. Oktober 2022 wiederum sind zu streichen, weil sie nicht in den Akten enthalten und damit nicht überprüfbar sind (2 x 0,17 + 0,25 Stunden). Somit verbleibt bis Ende 2022 ein zu entschädigender Aufwand von 9,19 Stunden und ab 1. Januar 2023 von 11,01 Stunden. Die Vertreterin beantragt durchgehend einen Stundenansatz von CHF 270.00. Dieser kann ab 1. Januar 2023 gewährt werden. Bis Ende 2022 werden demgegenüber praxisgemäss maximal CHF 260.00 angerechnet, da keine ausserordentliche Schwierigkeit des Falls vorliegt. Auf diese Weise ergibt sich insgesamt eine Entschädigung von CHF 6'327.25, einschliesslich CHF 512.80 Auslagen und CHF 452.35 Mehrwertsteuer (7,7 %). Dieser Betrag ist dem teilweisen Obsiegen entsprechend um drei Fünftel auf CHF 2'530.90 zu reduzieren. 5.       In Beschwerdesachen der Unfallversicherung sind (abgesehen vom hier nicht interessierenden Fall einer mutwilligen oder leichtsinnigen Prozessführung) keine Verfahrenskosten zu erheben, weil dies im UVG nicht vorgesehen ist (s.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