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 vom 29. November 2021</w:t>
      </w:r>
    </w:p>
    <w:p>
      <w:r>
        <w:t>SO Obergericht, 2021-11-29, DE</w:t>
      </w:r>
    </w:p>
    <w:p>
      <w:r>
        <w:rPr>
          <w:b/>
        </w:rPr>
        <w:t xml:space="preserve">Quelle: </w:t>
      </w:r>
      <w:r>
        <w:t>https://mcp.opencaselaw.ch/entscheid/so_gerichte_VSBES.2022.10</w:t>
      </w:r>
    </w:p>
    <w:p>
      <w:r>
        <w:t>FR: SO_GERICHTE VSBES.2022.10 du 29 novembre 2021</w:t>
      </w:r>
    </w:p>
    <w:p>
      <w:r>
        <w:t>IT: SO_GERICHTE VSBES.2022.10 del 29 novembre 2021</w:t>
      </w:r>
    </w:p>
    <w:p>
      <w:pPr>
        <w:pStyle w:val="Heading2"/>
      </w:pPr>
      <w:r>
        <w:t>Erwägungen</w:t>
      </w:r>
    </w:p>
    <w:p>
      <w:r>
        <w:rPr>
          <w:b/>
        </w:rPr>
        <w:t>E. 1</w:t>
      </w:r>
    </w:p>
    <w:p>
      <w:r>
        <w:t>1.1     Am 29. November 2017 (IV-Nr. 13) meldete sich A.___ (nachfolgend Beschwerdeführer), geb. 1965, bei der IV-Stelle des Kantons Solothurn (nachfolgend Beschwerdegegnerin) zum Bezug von Leistungen der Invalidenversicherung an. Im Arztbericht von Dr. med. B.___, Oberarzt im C.___, vom 29. März 2018 (IV-Nr. 21) wurden mit Auswirkungen auf die Arbeitsfähigkeit Psychische und Verhaltensstörungen durch Opioide: Abhängigkeitssyndrom F11.2 sowie eine rezidivierende depressive Störung, gegenwärtig mittelgradige Episode F33.1, diagnostiziert. Weiter führte Dr. med. B.___ aus, der Beschwerdeführer sei durch die Depression stark im Alltag beeinträchtigt. Dennoch sei eine Arbeitstätigkeit denkbar. Eine Arbeitserprobung müsste aber langsam aufgebaut werden. Mehr als eine 50%-Tätigkeit sei im Moment nicht realistisch. In der Folge veranlasste die Beschwerdegegnerin ein polydisziplinäres Gutachten bei der D.___, [...], in den Fachrichtungen Neuropsychologie, Allgemeine Innere Medizin, Orthopädie, Neurologie und Psychiatrie. Im diesbezüglichen Gutachtensbericht vom 14. Juni 2019 (IV-Nr. 58.2) kamen die Gutachter zum Schluss, im Gutachtenszeitpunkt sei der Beschwerdeführer in jeglicher Tätigkeit zu 100 % arbeitsfähig einzuschätzen. Arbeitsunfähigkeiten bestünden lediglich retrospektiv aus psychiatrischer Sicht:Von November 2017 bis zum Beginn der stationären Behandlung bei der E.___, am 7. Februar 2018 habe eine Arbeitsfähigkeit von 50 % vorgelegen, während des genannten stationären Aufenthaltes (7. Februar 2018 bis 5. März 2018) sei die Arbeitsfähigkeit natürlich aufgehoben gewesen. Seit Austritt aus der Klinik am 5. März 2018 liege keine psychiatrisch bedingte Verminderung der Arbeitsfähigkeit mehr vor.</w:t>
      </w:r>
    </w:p>
    <w:p>
      <w:r>
        <w:t>1.2     Gestützt darauf stellt die Beschwerdegegnerin dem Beschwerdeführer mit Vorbescheid vom 2. September 2019 (IV-Nr. 60) in Aussicht, sie werde den Anspruch auf berufliche Eingliederungsmassnahmen und eine Invalidenrente verneinen. Nach Eingang des Einwandes des Beschwerdeführers (IV-Nr. 65) nahm die Beschwerdegegnerin Rücksprache mit der D.___ (IV-Nr. 75) und kam zum Schluss, dass in den Disziplinen Neuropsychologie und Psychiatrie ein Folgegutachten zu veranlassen sei. Im Gutachtensbericht vom 4. März 2021 (IV-Nr. 94.1) kamen die Gutachter der D.___, [...], zum Schluss, ab Sommer 2020 habe sich die gesundheitliche Situation des Versicherten verschlechtert, es habe sich eine stärkere depressive Symptomatik entwickelt, des Weiteren habe der Beikonsum hinsichtlich Kokain und Heroin zugenommen. Seit Juli 2020 bestehe in einer angepassten Tätigkeit eine Arbeitsfähigkeit von 35 %. Die bisherige Tätigkeit sei dem Beschwerdeführer nicht mehr zumutbar. Die Arbeits- / Leistungsfähigkeit könne durch eine stationäre Suchttherapie verbessert werden. Das Ziel einer Suchtmittelabstinenz erscheine durchaus realistisch. Eine Verbesserung könne innerhalb eine Dauer von mindestens 6, eher 9 - 12 Monaten erreicht werden. Wäre der Versicherte abstinent, wäre die Arbeitsfähigkeit gegebenenfalls wieder vollständig herstellbar.</w:t>
      </w:r>
    </w:p>
    <w:p>
      <w:r>
        <w:t>1.3     In der Folge eröffnete die Beschwerdegegnerin mit Schreiben vom 26. März 2021 (IV-Nr. 99) ein Mahn- und Bedenkzeitverfahren, worin sie den Beschwerdeführer aufforderte, sich im Rahmen der Schadenminderungspflicht in eine stationäre Suchttherapie zu begeben mit dem primären Ziel, eine Beendigung des Beikonsums von Heroin und Kokain zu erreichen und dem sekundären Ziel einer vollständigen Drogenabstinenz. Des Weiteren werde der Beschwerdeführer aufgefordert, der Beschwerdegegnerin umgehend mitzuteilen, in welcher Klinik er sich behandeln lasse und wann der Klinikeintritt erfolge. Nach Ablauf der geforderten Behandlungszeit werde sich die Beschwerdegegnerin beim Therapeuten des Beschwerdeführers über das Behandlungsergebnis erkundigen. Anschliessend werde sie über das Leistungsgesuch entscheiden.</w:t>
      </w:r>
    </w:p>
    <w:p>
      <w:r>
        <w:t>1.4     Mit Schreiben vom 6. Juli 2021 (IV-Nr. 100) gelangte die Beschwerdegegnerin an den Rechtsvertreter des Beschwerdeführers. Darin hielt sie fest, mit Auflage vom 26. März 2021 habe sie den Versicherten zu einer stationären Suchttherapie aufgefordert. Bis zum heutigen Tag habe sie keine weiteren Informationen erhalten. Sie bitte den Rechtsvertreter des Beschwerdeführers um Mitteilung, ob ein solcher Aufenthalt stattgefunden habe und wo.</w:t>
      </w:r>
    </w:p>
    <w:p>
      <w:r>
        <w:t>1.5     Schliesslich stellte die Beschwerdegegnerin dem Beschwerdeführer mit Vorbescheid vom 14. Oktober 2021 (IV-Nr. 101) in Aussicht, auf sein Leistungsbegehren nicht einzutreten. So habe er es unterlassen, der Beschwerdegegnerin das Eintrittsdatum und die Adresse der Klinik anzugeben. Auch auf die schriftliche Nachfrage vom 6. Juli 2021 habe die Beschwerdegegnerin keine Reaktion erhalten. Mit Verfügung vom 29. November 2021 (A.S. [Akten-Seite] hielt die Beschwerdegegnerin am beabsichtigten Vorgehen fest und trat auf das Leistungsbegehren des Beschwerdeführers nicht ein.</w:t>
      </w:r>
    </w:p>
    <w:p>
      <w:r>
        <w:t>2.       Dagegen lässt der Beschwerdeführer am 10. Januar 2022 (A.S. 3 ff.) Beschwerde erheben und folgende Rechtsbegehren stellen:</w:t>
      </w:r>
    </w:p>
    <w:p>
      <w:r>
        <w:t>3.       Mit Beschwerdeantwort vom 24. Februar 2022 (A.S. 23 ff.) beantragt die Beschwerdegegnerin, die Beschwerde sei in dem Sinne teilweise gutzuheissen, als ein befristeter Rentenanspruch zu bejahen sei. Im Übrigen sei die Beschwerde abzuweisen.</w:t>
      </w:r>
    </w:p>
    <w:p>
      <w:r>
        <w:t>4.       Mit Verfügung vom 2. März 2022 (A.S. 26) wird dem Beschwerdeführer ab Prozessbeginn die unentgeltliche Rechtspflege (Befreiung von sämtlichen Gerichtskosten und von der Kostenvorschusspflicht) bewilligt und Rechtsanwalt Daniel Helfenfinger, als unentgeltlicher Rechtsbeistand bestellt</w:t>
      </w:r>
    </w:p>
    <w:p>
      <w:r>
        <w:t>5.       Mit Replik vom 25. April 2022 (A.S. 30 ff.) hält der Beschwerdeführer an seinen bereits gestellten Rechtsbegehren fest.</w:t>
      </w:r>
    </w:p>
    <w:p>
      <w:r>
        <w:t>6.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5.1In seiner Beschwerdeschrift hält der Beschwerdeführer im Wesentlichen fest, im Folgegutachten der D.___ vom 4. März 2021 komme zum Ausdruck, dass sich der Gesundheitszustand des Beschwerdeführers gegenüber dem ersten D.___-Gutachten vom 14. Juni 2019 verschlechtert habe. Einerseits halte das Folgegutachten fest, dass der Konsum von Heroin und Kokain verstärkt bzw. häufiger erfolge. Im Erstgutachten sei die depressive Störung nicht näher diagnostiziert worden. Jedoch hätten sich die Depressionen des Beschwerdeführers seither verschlechtert. Sodann habe die Beschwerdegegnerin dem Beschwerdeführer am 26. März 2021 mitgeteilt, dass eine abschliessende Prüfung des Leistungsanspruchs nur unter der Auflage erfolge, dass sich der Beschwerdeführer in eine stationäre Entzugsbehandlung begebe. Es liege nahe, dass die Beschwerdegegnerin ihre Auflage auf Aussagen im genannten Folgegutachten abgestützt habe. Das Folgegutachten sei zum Schluss gekommen, die Arbeits- und Leistungsfähigkeit des Beschwerdeführers könne realistischerweise durch eine stationäre Suchttherapie von mindestens sechs, eher neun bis zwölf Monaten, verbessert werden. Das Folgegutachten habe sich jedoch nur im Sinne einer Wahrscheinlichkeit geäussert: «Wäre der Versicherte abstinent, wäre die Arbeitsfähigkeit gegebenenfalls wieder vollständig herstellbar.» Das Folgegutachten sei in dieser Hinsicht nicht konsistent. Im Folgegutachten werde auch gesagt, die Depressionen des Beschwerdeführers seien von Relevanz für die Arbeitsfähigkeit. Dass allein durch die Drogenabstinenz die Arbeitsfähigkeit des Beschwerdeführers wieder herstellbar wäre, stehe hierzu im Widerspruch. Die Gesundheit des Beschwerdeführers habe sich seit dem Folgegutachten nochmals verschlechtert. Der Beschwerdeführer habe sich zurückgezogen und den Kontakt zur Aussenwelt weitgehend abgebrochen. Trotz zahlreicher Versuche sei es für den Unterzeichnenden nicht möglich gewesen, den Beschwerdeführer zu kontaktieren. Angesichts des beschriebenen Gesundheitszustands des Beschwerdeführers, insbesondere unter Berücksichtigung der depressiven Symptomatik, hätte es die Beschwerdegegnerin nicht bei einer einmaligen Mahnung belassen dürfen. Des Weiteren habe das Bundesgericht mit Urteil 9C_309/2019 vom</w:t>
      </w:r>
    </w:p>
    <w:p>
      <w:r>
        <w:rPr>
          <w:b/>
        </w:rPr>
        <w:t>E. 5.1</w:t>
      </w:r>
    </w:p>
    <w:p>
      <w:r>
        <w:t>In seiner Beschwerdeschrift hält der Beschwerdeführer im Wesentlichen fest, im Folgegutachten der D.___ vom 4. März 2021 komme zum Ausdruck, dass sich der Gesundheitszustand des Beschwerdeführers gegenüber dem ersten D.___-Gutachten vom 14. Juni 2019 verschlechtert habe. Einerseits halte das Folgegutachten fest, dass der Konsum von Heroin und Kokain verstärkt bzw. häufiger erfolge. Im Erstgutachten sei die depressive Störung nicht näher diagnostiziert worden. Jedoch hätten sich die Depressionen des Beschwerdeführers seither verschlechtert. Sodann habe die Beschwerdegegnerin dem Beschwerdeführer am 26. März 2021 mitgeteilt, dass eine abschliessende Prüfung des Leistungsanspruchs nur unter der Auflage erfolge, dass sich der Beschwerdeführer in eine stationäre Entzugsbehandlung begebe. Es liege nahe, dass die Beschwerdegegnerin ihre Auflage auf Aussagen im genannten Folgegutachten abgestützt habe. Das Folgegutachten sei zum Schluss gekommen, die Arbeits- und Leistungsfähigkeit des Beschwerdeführers könne realistischerweise durch eine stationäre Suchttherapie von mindestens sechs, eher neun bis zwölf Monaten, verbessert werden. Das Folgegutachten habe sich jedoch nur im Sinne einer Wahrscheinlichkeit geäussert: «Wäre der Versicherte abstinent, wäre die Arbeitsfähigkeit gegebenenfalls wieder vollständig herstellbar.» Das Folgegutachten sei in dieser Hinsicht nicht konsistent. Im Folgegutachten werde auch gesagt, die Depressionen des Beschwerdeführers seien von Relevanz für die Arbeitsfähigkeit. Dass allein durch die Drogenabstinenz die Arbeitsfähigkeit des Beschwerdeführers wieder herstellbar wäre, stehe hierzu im Widerspruch. Die Gesundheit des Beschwerdeführers habe sich seit dem Folgegutachten nochmals verschlechtert. Der Beschwerdeführer habe sich zurückgezogen und den Kontakt zur Aussenwelt weitgehend abgebrochen. Trotz zahlreicher Versuche sei es für den Unterzeichnenden nicht möglich gewesen, den Beschwerdeführer zu kontaktieren. Angesichts des beschriebenen Gesundheitszustands des Beschwerdeführers, insbesondere unter Berücksichtigung der depressiven Symptomatik, hätte es die Beschwerdegegnerin nicht bei einer einmaligen Mahnung belassen dürfen. Des Weiteren habe das Bundesgericht mit Urteil 9C_309/2019 vom</w:t>
      </w:r>
    </w:p>
    <w:p>
      <w:r>
        <w:rPr>
          <w:b/>
        </w:rPr>
        <w:t>E. 7</w:t>
      </w:r>
    </w:p>
    <w:p>
      <w:r>
        <w:t>7.1     Bei diesem Verfahrensausgang steht dem Beschwerdeführer eine ordentliche Parteientschädigung zu, die von der Beschwerdegegnerin zu bezahlen ist. Da von deren Solvenz auszugehen ist, erübrigt sich das Festsetzen des amtlichen Honorars im Rahmen der unentgeltlichen Rechtspflege. In seiner Kostennote vom 3. Dezember 2021 macht der Rechtsvertreter des Beschwerdeführers einen Honoraranspruch von CHF 7'333.72 geltend. Diesbezüglich sind diverse Kürzungen vorzunehmen. So sind in der Kostennote teilweise Positionen enthalten, die Kanzleiaufwand darstellen und nicht gesondert vergütet werden (Fristverlängerung, Einreichung Kostennote, Kurzbriefe an Klient). Sodann wird die Korrespondenz mit den Sozialen Diensten nur im Zusammenhang mit dem Gesuch um unentgeltliche Rechtspflege entschädigt und dies gemäss versicherungsgerichtlicher Praxis auch nur im Umfang einer halben Stunde. Zudem wird für den nachprozessualen Aufwand bei Obsiegen nur eine halbe Stunde entschädigt. Schliesslich erscheint der geltend gemachte Zeitaufwand von 26.55 Stunden in Anbetracht von Aufwand und Schwierigkeit des Prozesses bzw. des Aufwandes in vergleichbaren Fällen als überhöht. Insbesondere die veranschlagten Aufwände für das Verfassen der Beschwerde von total 6.6 Stunden und für das Redigieren der Replik von insgesamt 9 Stunden erscheinen als überhöht, zumal Rechtsanwalt Daniel Helfenfinger den Beschwerdeführer bereits im Verwaltungsverfahren vertreten hat (Synergieeffekt). Demnach ist eine zusätzliche pauschale Kürzung von 5 Stunden angebracht. In Anbetracht von Aufwand und Schwierigkeit des Prozesses ist die Parteientschädigung somit auf CHF 4'748.95 festzusetzen (16.95 Stunden zu CHF 250.00 [§ 160 Abs. 2 GT], zuzügl. Auslagen von CHF 171.90 und MwSt).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2.Die IV-Stelle des Kantons Solothurn hat dem Beschwerdeführer eine Parteientschädigung von CHF 4'748.95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